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r>
        <w:rPr>
          <w:rFonts w:ascii="Times New Roman" w:hAnsi="Times New Roman" w:cs="Times New Roman"/>
          <w:b/>
          <w:sz w:val="24"/>
          <w:szCs w:val="24"/>
          <w:lang w:val="en-AU"/>
        </w:rPr>
        <w:t>Risk Management Plan Assessment 2</w:t>
      </w: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Pr="00245E7B" w:rsidRDefault="000E48BC" w:rsidP="000E48BC">
      <w:pPr>
        <w:spacing w:before="100" w:beforeAutospacing="1" w:after="0" w:line="480" w:lineRule="auto"/>
        <w:ind w:firstLine="720"/>
        <w:contextualSpacing/>
        <w:jc w:val="center"/>
        <w:rPr>
          <w:rFonts w:ascii="Times New Roman" w:hAnsi="Times New Roman" w:cs="Times New Roman"/>
          <w:sz w:val="24"/>
          <w:szCs w:val="24"/>
        </w:rPr>
      </w:pPr>
      <w:r w:rsidRPr="00245E7B">
        <w:rPr>
          <w:rFonts w:ascii="Times New Roman" w:hAnsi="Times New Roman" w:cs="Times New Roman"/>
          <w:sz w:val="24"/>
          <w:szCs w:val="24"/>
        </w:rPr>
        <w:t>Student’s Name</w:t>
      </w:r>
    </w:p>
    <w:p w:rsidR="000E48BC" w:rsidRPr="00245E7B" w:rsidRDefault="000E48BC" w:rsidP="000E48BC">
      <w:pPr>
        <w:spacing w:before="100" w:beforeAutospacing="1" w:after="0" w:line="480" w:lineRule="auto"/>
        <w:ind w:firstLine="720"/>
        <w:contextualSpacing/>
        <w:jc w:val="center"/>
        <w:rPr>
          <w:rFonts w:ascii="Times New Roman" w:hAnsi="Times New Roman" w:cs="Times New Roman"/>
          <w:sz w:val="24"/>
          <w:szCs w:val="24"/>
        </w:rPr>
      </w:pPr>
      <w:r w:rsidRPr="00245E7B">
        <w:rPr>
          <w:rFonts w:ascii="Times New Roman" w:hAnsi="Times New Roman" w:cs="Times New Roman"/>
          <w:sz w:val="24"/>
          <w:szCs w:val="24"/>
        </w:rPr>
        <w:t>Institution’s Affiliation</w:t>
      </w:r>
    </w:p>
    <w:p w:rsidR="000E48BC" w:rsidRPr="00245E7B" w:rsidRDefault="000E48BC" w:rsidP="000E48BC">
      <w:pPr>
        <w:spacing w:before="100" w:beforeAutospacing="1" w:after="0" w:line="480" w:lineRule="auto"/>
        <w:ind w:firstLine="720"/>
        <w:contextualSpacing/>
        <w:jc w:val="center"/>
        <w:rPr>
          <w:rFonts w:ascii="Times New Roman" w:hAnsi="Times New Roman" w:cs="Times New Roman"/>
          <w:sz w:val="24"/>
          <w:szCs w:val="24"/>
        </w:rPr>
      </w:pPr>
      <w:r w:rsidRPr="00245E7B">
        <w:rPr>
          <w:rFonts w:ascii="Times New Roman" w:hAnsi="Times New Roman" w:cs="Times New Roman"/>
          <w:sz w:val="24"/>
          <w:szCs w:val="24"/>
        </w:rPr>
        <w:t>Course</w:t>
      </w:r>
    </w:p>
    <w:p w:rsidR="000E48BC" w:rsidRPr="00245E7B" w:rsidRDefault="000E48BC" w:rsidP="000E48BC">
      <w:pPr>
        <w:spacing w:before="100" w:beforeAutospacing="1" w:after="0" w:line="480" w:lineRule="auto"/>
        <w:ind w:firstLine="720"/>
        <w:contextualSpacing/>
        <w:jc w:val="center"/>
        <w:rPr>
          <w:rFonts w:ascii="Times New Roman" w:hAnsi="Times New Roman" w:cs="Times New Roman"/>
          <w:sz w:val="24"/>
          <w:szCs w:val="24"/>
        </w:rPr>
      </w:pPr>
      <w:r w:rsidRPr="00245E7B">
        <w:rPr>
          <w:rFonts w:ascii="Times New Roman" w:hAnsi="Times New Roman" w:cs="Times New Roman"/>
          <w:sz w:val="24"/>
          <w:szCs w:val="24"/>
        </w:rPr>
        <w:t>Professor’s Name</w:t>
      </w:r>
    </w:p>
    <w:p w:rsidR="000E48BC" w:rsidRDefault="000E48BC" w:rsidP="000E48BC">
      <w:pPr>
        <w:spacing w:before="100" w:beforeAutospacing="1" w:after="0" w:line="480" w:lineRule="auto"/>
        <w:ind w:firstLine="720"/>
        <w:contextualSpacing/>
        <w:jc w:val="center"/>
        <w:rPr>
          <w:rFonts w:ascii="Times New Roman" w:hAnsi="Times New Roman" w:cs="Times New Roman"/>
          <w:sz w:val="24"/>
          <w:szCs w:val="24"/>
        </w:rPr>
      </w:pPr>
      <w:r w:rsidRPr="00245E7B">
        <w:rPr>
          <w:rFonts w:ascii="Times New Roman" w:hAnsi="Times New Roman" w:cs="Times New Roman"/>
          <w:sz w:val="24"/>
          <w:szCs w:val="24"/>
        </w:rPr>
        <w:t>Date</w:t>
      </w:r>
    </w:p>
    <w:p w:rsidR="000E48BC" w:rsidRDefault="000E48BC" w:rsidP="000E48BC">
      <w:pPr>
        <w:spacing w:before="100" w:beforeAutospacing="1" w:after="0" w:line="480" w:lineRule="auto"/>
        <w:ind w:firstLine="720"/>
        <w:contextualSpacing/>
        <w:jc w:val="center"/>
        <w:rPr>
          <w:rFonts w:ascii="Times New Roman" w:hAnsi="Times New Roman" w:cs="Times New Roman"/>
          <w:b/>
          <w:sz w:val="24"/>
          <w:szCs w:val="24"/>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Default="000E48BC" w:rsidP="000E48BC">
      <w:pPr>
        <w:spacing w:before="100" w:beforeAutospacing="1" w:after="0" w:line="480" w:lineRule="auto"/>
        <w:contextualSpacing/>
        <w:jc w:val="center"/>
        <w:rPr>
          <w:rFonts w:ascii="Times New Roman" w:hAnsi="Times New Roman" w:cs="Times New Roman"/>
          <w:b/>
          <w:sz w:val="24"/>
          <w:szCs w:val="24"/>
          <w:lang w:val="en-AU"/>
        </w:rPr>
      </w:pPr>
    </w:p>
    <w:p w:rsidR="000E48BC" w:rsidRP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r w:rsidRPr="000E48BC">
        <w:rPr>
          <w:rFonts w:ascii="Times New Roman" w:hAnsi="Times New Roman" w:cs="Times New Roman"/>
          <w:b/>
          <w:sz w:val="24"/>
          <w:szCs w:val="24"/>
          <w:lang w:val="en-AU"/>
        </w:rPr>
        <w:lastRenderedPageBreak/>
        <w:t>Introduction</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t>The proposed project is a regional airline to Northern Australia, and it would solve a severe issue of accessibility that would impact remote communities, tourism destinations and other vital service consumers. Among the hindrances to regional development as cited in the case study are limited aerial flights, prohibitively high charter services, and diminishing accessibility to Kakadu National Park. This initiative is a plan to operate the project as both a commercial aviation and a regional access project. It is intended to showcase significant risk, evaluate their likely impacts, budget the relevant reaction and institute continuous controls. The strategy targets security, control, economy, demand, infrastructure, labor potential and shareholder trust.</w:t>
      </w:r>
    </w:p>
    <w:p w:rsidR="000E48BC" w:rsidRP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r w:rsidRPr="000E48BC">
        <w:rPr>
          <w:rFonts w:ascii="Times New Roman" w:hAnsi="Times New Roman" w:cs="Times New Roman"/>
          <w:b/>
          <w:sz w:val="24"/>
          <w:szCs w:val="24"/>
          <w:lang w:val="en-AU"/>
        </w:rPr>
        <w:t>Risk Management Method</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t xml:space="preserve">The risk approach is to be a structured technique, since aviation initiatives are characterised by incomparable investments, strict regulation and low tolerance to errors. A 5 by 5 probability and impact matrix will be used in the project. The scores on probability will be on a scale of 1 to 5, where 1 will be rare and 5 will be almost certain. The impact will also be rated on a scale of 1 to 5, where 1 will mean minor disruption and 5 will mean extreme use of safety, finance, operations or reputation. The risk score will compute the product of probability and impact as the final risk score. Scores of 1 to 5 will be low, 6 to 10 moderate, 11 to 15 high and 16 to 25 extreme. </w:t>
      </w:r>
      <w:r w:rsidRPr="000E48BC">
        <w:rPr>
          <w:rFonts w:ascii="Times New Roman" w:hAnsi="Times New Roman" w:cs="Times New Roman"/>
          <w:sz w:val="24"/>
          <w:szCs w:val="24"/>
        </w:rPr>
        <w:t xml:space="preserve">The approach will be suitable since the studies on the demand for air travel indicate that the planning of routes, fleet utilisation, and their scheduling and revenues require meticulous predictions </w:t>
      </w:r>
      <w:r w:rsidRPr="000E48BC">
        <w:rPr>
          <w:rFonts w:ascii="Times New Roman" w:hAnsi="Times New Roman" w:cs="Times New Roman"/>
          <w:sz w:val="24"/>
          <w:szCs w:val="24"/>
          <w:lang w:val="en-AU"/>
        </w:rPr>
        <w:t>(Wang and Gao, 2021). The faulty initial assessment may produce poor loads of passengers and strain the airline before it stabilises.</w:t>
      </w:r>
    </w:p>
    <w:p w:rsidR="000E48BC" w:rsidRP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r w:rsidRPr="000E48BC">
        <w:rPr>
          <w:rFonts w:ascii="Times New Roman" w:hAnsi="Times New Roman" w:cs="Times New Roman"/>
          <w:b/>
          <w:sz w:val="24"/>
          <w:szCs w:val="24"/>
          <w:lang w:val="en-AU"/>
        </w:rPr>
        <w:t>Established Risk Appetite and Risk Thresholds</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lastRenderedPageBreak/>
        <w:t>There needs to be a low tolerance for safety, regulatory, maintenance, and cash flow risks in the project since these are the areas that will halt any operations or create damage to society</w:t>
      </w:r>
      <w:r w:rsidR="006A46A2">
        <w:rPr>
          <w:rFonts w:ascii="Times New Roman" w:hAnsi="Times New Roman" w:cs="Times New Roman"/>
          <w:sz w:val="24"/>
          <w:szCs w:val="24"/>
          <w:lang w:val="en-AU"/>
        </w:rPr>
        <w:t>’</w:t>
      </w:r>
      <w:r w:rsidRPr="000E48BC">
        <w:rPr>
          <w:rFonts w:ascii="Times New Roman" w:hAnsi="Times New Roman" w:cs="Times New Roman"/>
          <w:sz w:val="24"/>
          <w:szCs w:val="24"/>
          <w:lang w:val="en-AU"/>
        </w:rPr>
        <w:t xml:space="preserve">s trust in the company. Demand growth can be moderate due to the need for time to develop new regional services. Aviation White Paper facilitates regional connectivity, yet connects the development of aviation with safety, competitiveness, sustainability and workforce potential (Australian Government, 2024). </w:t>
      </w:r>
      <w:r w:rsidRPr="000E48BC">
        <w:rPr>
          <w:rFonts w:ascii="Times New Roman" w:hAnsi="Times New Roman" w:cs="Times New Roman"/>
          <w:sz w:val="24"/>
          <w:szCs w:val="24"/>
        </w:rPr>
        <w:t>Corrective action should be taken when CASA approval is not processed within 30 days, operating costs are over the budget by 10%, load factors are less than 70% during 2 consecutive months, cancellations are above 5% to the scheduled services, or any safety breach is not corrected without any response</w:t>
      </w:r>
      <w:r w:rsidRPr="000E48BC">
        <w:rPr>
          <w:rFonts w:ascii="Times New Roman" w:hAnsi="Times New Roman" w:cs="Times New Roman"/>
          <w:sz w:val="24"/>
          <w:szCs w:val="24"/>
          <w:lang w:val="en-AU"/>
        </w:rPr>
        <w:t xml:space="preserve">. The project has well-defined intervention </w:t>
      </w:r>
      <w:r w:rsidR="000242B1">
        <w:rPr>
          <w:rFonts w:ascii="Times New Roman" w:hAnsi="Times New Roman" w:cs="Times New Roman"/>
          <w:sz w:val="24"/>
          <w:szCs w:val="24"/>
          <w:lang w:val="en-AU"/>
        </w:rPr>
        <w:t>points based on these thresholds</w:t>
      </w:r>
      <w:r w:rsidRPr="000E48BC">
        <w:rPr>
          <w:rFonts w:ascii="Times New Roman" w:hAnsi="Times New Roman" w:cs="Times New Roman"/>
          <w:sz w:val="24"/>
          <w:szCs w:val="24"/>
          <w:lang w:val="en-AU"/>
        </w:rPr>
        <w:t>.</w:t>
      </w:r>
    </w:p>
    <w:p w:rsidR="000E48BC" w:rsidRP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r w:rsidRPr="000E48BC">
        <w:rPr>
          <w:rFonts w:ascii="Times New Roman" w:hAnsi="Times New Roman" w:cs="Times New Roman"/>
          <w:b/>
          <w:sz w:val="24"/>
          <w:szCs w:val="24"/>
          <w:lang w:val="en-AU"/>
        </w:rPr>
        <w:t>Comprehensive Risk Register</w:t>
      </w:r>
    </w:p>
    <w:tbl>
      <w:tblPr>
        <w:tblStyle w:val="TableGrid"/>
        <w:tblW w:w="10345" w:type="dxa"/>
        <w:tblLayout w:type="fixed"/>
        <w:tblLook w:val="04A0" w:firstRow="1" w:lastRow="0" w:firstColumn="1" w:lastColumn="0" w:noHBand="0" w:noVBand="1"/>
      </w:tblPr>
      <w:tblGrid>
        <w:gridCol w:w="1929"/>
        <w:gridCol w:w="1936"/>
        <w:gridCol w:w="1440"/>
        <w:gridCol w:w="990"/>
        <w:gridCol w:w="900"/>
        <w:gridCol w:w="1170"/>
        <w:gridCol w:w="1980"/>
      </w:tblGrid>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b/>
                <w:bCs/>
                <w:sz w:val="24"/>
                <w:szCs w:val="24"/>
              </w:rPr>
            </w:pPr>
            <w:r w:rsidRPr="00E8222A">
              <w:rPr>
                <w:rFonts w:ascii="Times New Roman" w:eastAsia="Times New Roman" w:hAnsi="Times New Roman" w:cs="Times New Roman"/>
                <w:b/>
                <w:bCs/>
                <w:sz w:val="24"/>
                <w:szCs w:val="24"/>
              </w:rPr>
              <w:t>Risk</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b/>
                <w:bCs/>
                <w:sz w:val="24"/>
                <w:szCs w:val="24"/>
              </w:rPr>
            </w:pPr>
            <w:r w:rsidRPr="00E8222A">
              <w:rPr>
                <w:rFonts w:ascii="Times New Roman" w:eastAsia="Times New Roman" w:hAnsi="Times New Roman" w:cs="Times New Roman"/>
                <w:b/>
                <w:bCs/>
                <w:sz w:val="24"/>
                <w:szCs w:val="24"/>
              </w:rPr>
              <w:t>Category</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b/>
                <w:bCs/>
                <w:sz w:val="24"/>
                <w:szCs w:val="24"/>
              </w:rPr>
            </w:pPr>
            <w:r w:rsidRPr="00E8222A">
              <w:rPr>
                <w:rFonts w:ascii="Times New Roman" w:eastAsia="Times New Roman" w:hAnsi="Times New Roman" w:cs="Times New Roman"/>
                <w:b/>
                <w:bCs/>
                <w:sz w:val="24"/>
                <w:szCs w:val="24"/>
              </w:rPr>
              <w:t>Probability</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b/>
                <w:bCs/>
                <w:sz w:val="24"/>
                <w:szCs w:val="24"/>
              </w:rPr>
            </w:pPr>
            <w:r w:rsidRPr="00E8222A">
              <w:rPr>
                <w:rFonts w:ascii="Times New Roman" w:eastAsia="Times New Roman" w:hAnsi="Times New Roman" w:cs="Times New Roman"/>
                <w:b/>
                <w:bCs/>
                <w:sz w:val="24"/>
                <w:szCs w:val="24"/>
              </w:rPr>
              <w:t>Impact</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b/>
                <w:bCs/>
                <w:sz w:val="24"/>
                <w:szCs w:val="24"/>
              </w:rPr>
            </w:pPr>
            <w:r w:rsidRPr="00E8222A">
              <w:rPr>
                <w:rFonts w:ascii="Times New Roman" w:eastAsia="Times New Roman" w:hAnsi="Times New Roman" w:cs="Times New Roman"/>
                <w:b/>
                <w:bCs/>
                <w:sz w:val="24"/>
                <w:szCs w:val="24"/>
              </w:rPr>
              <w:t>Score</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b/>
                <w:bCs/>
                <w:sz w:val="24"/>
                <w:szCs w:val="24"/>
              </w:rPr>
            </w:pPr>
            <w:r w:rsidRPr="00E8222A">
              <w:rPr>
                <w:rFonts w:ascii="Times New Roman" w:eastAsia="Times New Roman" w:hAnsi="Times New Roman" w:cs="Times New Roman"/>
                <w:b/>
                <w:bCs/>
                <w:sz w:val="24"/>
                <w:szCs w:val="24"/>
              </w:rPr>
              <w:t>Rating</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b/>
                <w:bCs/>
                <w:sz w:val="24"/>
                <w:szCs w:val="24"/>
              </w:rPr>
            </w:pPr>
            <w:r w:rsidRPr="00E8222A">
              <w:rPr>
                <w:rFonts w:ascii="Times New Roman" w:eastAsia="Times New Roman" w:hAnsi="Times New Roman" w:cs="Times New Roman"/>
                <w:b/>
                <w:bCs/>
                <w:sz w:val="24"/>
                <w:szCs w:val="24"/>
              </w:rPr>
              <w:t>Response</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CASA approval delay</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Regulatory</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3</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5</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15</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High</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Avoid and mitigate</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Safety incident</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Safety</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2</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5</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10</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Moderate</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Avoid and mitigate</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Maintenance failure</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Operational</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3</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5</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15</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High</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Mitigate and transfer</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Fuel price increase</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Financial</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4</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5</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20</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Extreme</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Mitigate</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Low passenger demand</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Market</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3</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4</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12</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High</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Mitigate</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Pilot and engineer shortage</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Workforce</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4</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4</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16</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Extreme</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Mitigate</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Remote airstrip limitations</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Infrastructure</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3</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4</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12</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High</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Mitigate</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Extreme weather disruption</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Environmental</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3</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4</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12</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High</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Accept and mitigate</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Poor Indigenous consultation</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Stakeholder</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3</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4</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12</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High</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Mitigate</w:t>
            </w:r>
          </w:p>
        </w:tc>
      </w:tr>
      <w:tr w:rsidR="000E48BC" w:rsidRPr="000E48BC" w:rsidTr="000E48BC">
        <w:tc>
          <w:tcPr>
            <w:tcW w:w="1929"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Aggressive competitor response</w:t>
            </w:r>
          </w:p>
        </w:tc>
        <w:tc>
          <w:tcPr>
            <w:tcW w:w="1936"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Commercial</w:t>
            </w:r>
          </w:p>
        </w:tc>
        <w:tc>
          <w:tcPr>
            <w:tcW w:w="144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3</w:t>
            </w:r>
          </w:p>
        </w:tc>
        <w:tc>
          <w:tcPr>
            <w:tcW w:w="99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3</w:t>
            </w:r>
          </w:p>
        </w:tc>
        <w:tc>
          <w:tcPr>
            <w:tcW w:w="90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9</w:t>
            </w:r>
          </w:p>
        </w:tc>
        <w:tc>
          <w:tcPr>
            <w:tcW w:w="117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Moderate</w:t>
            </w:r>
          </w:p>
        </w:tc>
        <w:tc>
          <w:tcPr>
            <w:tcW w:w="1980" w:type="dxa"/>
            <w:vAlign w:val="center"/>
          </w:tcPr>
          <w:p w:rsidR="000E48BC" w:rsidRPr="00E8222A" w:rsidRDefault="000E48BC" w:rsidP="000E48BC">
            <w:pPr>
              <w:spacing w:before="100" w:beforeAutospacing="1"/>
              <w:contextualSpacing/>
              <w:rPr>
                <w:rFonts w:ascii="Times New Roman" w:eastAsia="Times New Roman" w:hAnsi="Times New Roman" w:cs="Times New Roman"/>
                <w:sz w:val="24"/>
                <w:szCs w:val="24"/>
              </w:rPr>
            </w:pPr>
            <w:r w:rsidRPr="00E8222A">
              <w:rPr>
                <w:rFonts w:ascii="Times New Roman" w:eastAsia="Times New Roman" w:hAnsi="Times New Roman" w:cs="Times New Roman"/>
                <w:sz w:val="24"/>
                <w:szCs w:val="24"/>
              </w:rPr>
              <w:t>Accept and mitigate</w:t>
            </w:r>
          </w:p>
        </w:tc>
      </w:tr>
    </w:tbl>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lastRenderedPageBreak/>
        <w:t xml:space="preserve">The register indicates that both exposure to fuel and shortages of workforce demand the utmost consideration since they are most probable and most harmful. Close control is also needed on regulatory approval, infrastructure and maintenance risks since they may slow down the launch or reduce reliability. Each risk must have an owner, </w:t>
      </w:r>
      <w:r>
        <w:rPr>
          <w:rFonts w:ascii="Times New Roman" w:hAnsi="Times New Roman" w:cs="Times New Roman"/>
          <w:sz w:val="24"/>
          <w:szCs w:val="24"/>
          <w:lang w:val="en-AU"/>
        </w:rPr>
        <w:t xml:space="preserve">a </w:t>
      </w:r>
      <w:r w:rsidRPr="000E48BC">
        <w:rPr>
          <w:rFonts w:ascii="Times New Roman" w:hAnsi="Times New Roman" w:cs="Times New Roman"/>
          <w:sz w:val="24"/>
          <w:szCs w:val="24"/>
          <w:lang w:val="en-AU"/>
        </w:rPr>
        <w:t xml:space="preserve">budget allocation, </w:t>
      </w:r>
      <w:r>
        <w:rPr>
          <w:rFonts w:ascii="Times New Roman" w:hAnsi="Times New Roman" w:cs="Times New Roman"/>
          <w:sz w:val="24"/>
          <w:szCs w:val="24"/>
          <w:lang w:val="en-AU"/>
        </w:rPr>
        <w:t xml:space="preserve">a </w:t>
      </w:r>
      <w:r w:rsidRPr="000E48BC">
        <w:rPr>
          <w:rFonts w:ascii="Times New Roman" w:hAnsi="Times New Roman" w:cs="Times New Roman"/>
          <w:sz w:val="24"/>
          <w:szCs w:val="24"/>
          <w:lang w:val="en-AU"/>
        </w:rPr>
        <w:t xml:space="preserve">reporting date and </w:t>
      </w:r>
      <w:r>
        <w:rPr>
          <w:rFonts w:ascii="Times New Roman" w:hAnsi="Times New Roman" w:cs="Times New Roman"/>
          <w:sz w:val="24"/>
          <w:szCs w:val="24"/>
          <w:lang w:val="en-AU"/>
        </w:rPr>
        <w:t xml:space="preserve">an </w:t>
      </w:r>
      <w:r w:rsidRPr="000E48BC">
        <w:rPr>
          <w:rFonts w:ascii="Times New Roman" w:hAnsi="Times New Roman" w:cs="Times New Roman"/>
          <w:sz w:val="24"/>
          <w:szCs w:val="24"/>
          <w:lang w:val="en-AU"/>
        </w:rPr>
        <w:t>escalation rule.</w:t>
      </w:r>
    </w:p>
    <w:p w:rsidR="000E48BC" w:rsidRP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r w:rsidRPr="000E48BC">
        <w:rPr>
          <w:rFonts w:ascii="Times New Roman" w:hAnsi="Times New Roman" w:cs="Times New Roman"/>
          <w:b/>
          <w:sz w:val="24"/>
          <w:szCs w:val="24"/>
          <w:lang w:val="en-AU"/>
        </w:rPr>
        <w:t>Risk Impact Assessment</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t xml:space="preserve">The worst of the risks are those that threaten safety, legal acceptance and business stability. Safety policy and safety risk management should both be a part of aviation safety management, which should not be separated into different paperwork (Stroeve et al., 2022). </w:t>
      </w:r>
      <w:r w:rsidRPr="000E48BC">
        <w:rPr>
          <w:rStyle w:val="cursor-pointer"/>
          <w:rFonts w:ascii="Times New Roman" w:hAnsi="Times New Roman" w:cs="Times New Roman"/>
          <w:sz w:val="24"/>
          <w:szCs w:val="24"/>
        </w:rPr>
        <w:t>In the case of this project, the risk associated with a safety accident is less likely in comparison with that of fuel or workforce risk; however, its consequences are devastating as they may cause harm to passengers, initiate an investigation and ruin trust in a new airline.</w:t>
      </w:r>
      <w:r w:rsidRPr="000E48BC">
        <w:rPr>
          <w:rFonts w:ascii="Times New Roman" w:hAnsi="Times New Roman" w:cs="Times New Roman"/>
          <w:sz w:val="24"/>
          <w:szCs w:val="24"/>
          <w:lang w:val="en-AU"/>
        </w:rPr>
        <w:t xml:space="preserve"> Maintenance risk is also urgent since the reliability of aircraft has a direct impact on the safety, cancellations, and cost control. Research demonstrates that risk-based maintenance frameworks and systematic control are required to keep the technical and human aspects of aviation operations under control (Kıvanz et al., 2025). </w:t>
      </w:r>
      <w:r w:rsidRPr="000E48BC">
        <w:rPr>
          <w:rFonts w:ascii="Times New Roman" w:hAnsi="Times New Roman" w:cs="Times New Roman"/>
          <w:sz w:val="24"/>
          <w:szCs w:val="24"/>
        </w:rPr>
        <w:t>These results support the appropriateness of having strict maintenance measures prior to the initial planned service.</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t xml:space="preserve">High impact also lies on financial and market risks since regional airlines tend to run on small margins. </w:t>
      </w:r>
      <w:r w:rsidRPr="000E48BC">
        <w:rPr>
          <w:rFonts w:ascii="Times New Roman" w:hAnsi="Times New Roman" w:cs="Times New Roman"/>
          <w:sz w:val="24"/>
          <w:szCs w:val="24"/>
        </w:rPr>
        <w:t xml:space="preserve">A key exposure is fuel, since the operations of the airline industry are highly reliant on oil-based inputs, and oil shocks have the potential to affect the factors of airline returns and volatility </w:t>
      </w:r>
      <w:r w:rsidRPr="000E48BC">
        <w:rPr>
          <w:rFonts w:ascii="Times New Roman" w:hAnsi="Times New Roman" w:cs="Times New Roman"/>
          <w:sz w:val="24"/>
          <w:szCs w:val="24"/>
          <w:lang w:val="en-AU"/>
        </w:rPr>
        <w:t xml:space="preserve">(Cai et al., 2025). Another critical threat is low demand since routes with low populations might be variable as they mature. According to competition research, pricing, the quality of services offered, entry choices and the structure of the network influence the airline performance </w:t>
      </w:r>
      <w:r w:rsidRPr="000E48BC">
        <w:rPr>
          <w:rFonts w:ascii="Times New Roman" w:hAnsi="Times New Roman" w:cs="Times New Roman"/>
          <w:sz w:val="24"/>
          <w:szCs w:val="24"/>
          <w:lang w:val="en-AU"/>
        </w:rPr>
        <w:lastRenderedPageBreak/>
        <w:t>(Sun et al., 2024). The demand and competitor behaviour should thus be regarded as a correlated risk in the project. When an existing airline costs less or gets a shift in frequency, the new company might be put under strain before client loyalty is attained.</w:t>
      </w:r>
    </w:p>
    <w:p w:rsidR="000E48BC" w:rsidRP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r w:rsidRPr="000E48BC">
        <w:rPr>
          <w:rFonts w:ascii="Times New Roman" w:hAnsi="Times New Roman" w:cs="Times New Roman"/>
          <w:b/>
          <w:sz w:val="24"/>
          <w:szCs w:val="24"/>
          <w:lang w:val="en-AU"/>
        </w:rPr>
        <w:t>Risk Mitigation Strategies</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t xml:space="preserve">Each threat needs to have corresponding risk responses. Regulatory risk is to be eliminated by getting CASA involved early, a compliance schedule and full operating documentation prior to route opening. Risks on safety and maintenance may be reduced by utilizing approved maintenance vendors, in-house audits, frequent employee training, defect submissions and emergency drills. </w:t>
      </w:r>
      <w:r w:rsidRPr="000E48BC">
        <w:rPr>
          <w:rFonts w:ascii="Times New Roman" w:hAnsi="Times New Roman" w:cs="Times New Roman"/>
          <w:sz w:val="24"/>
          <w:szCs w:val="24"/>
        </w:rPr>
        <w:t>Access to maintenance costs must be partially handed over via fixed price agreements and coverage.</w:t>
      </w:r>
      <w:r w:rsidRPr="000E48BC">
        <w:rPr>
          <w:rFonts w:ascii="Times New Roman" w:hAnsi="Times New Roman" w:cs="Times New Roman"/>
          <w:sz w:val="24"/>
          <w:szCs w:val="24"/>
          <w:lang w:val="en-AU"/>
        </w:rPr>
        <w:t xml:space="preserve"> </w:t>
      </w:r>
      <w:r w:rsidRPr="000E48BC">
        <w:rPr>
          <w:rFonts w:ascii="Times New Roman" w:hAnsi="Times New Roman" w:cs="Times New Roman"/>
          <w:sz w:val="24"/>
          <w:szCs w:val="24"/>
        </w:rPr>
        <w:t>Fuel-efficient aircraft, the optimisation of routes, fuel monitoring and contingency reserve should be used to reduce fuel risk</w:t>
      </w:r>
      <w:r w:rsidRPr="000E48BC">
        <w:rPr>
          <w:rFonts w:ascii="Times New Roman" w:hAnsi="Times New Roman" w:cs="Times New Roman"/>
          <w:sz w:val="24"/>
          <w:szCs w:val="24"/>
          <w:lang w:val="en-AU"/>
        </w:rPr>
        <w:t xml:space="preserve">. </w:t>
      </w:r>
      <w:r w:rsidRPr="000E48BC">
        <w:rPr>
          <w:rFonts w:ascii="Times New Roman" w:hAnsi="Times New Roman" w:cs="Times New Roman"/>
          <w:sz w:val="24"/>
          <w:szCs w:val="24"/>
        </w:rPr>
        <w:t>Phased route entry, focus marketing and collaborations with tourism, health and education users and business users should minimize demand risk.</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t xml:space="preserve">The airline must not venture into large-scale expansion during the initial period of operation. </w:t>
      </w:r>
      <w:r w:rsidRPr="000E48BC">
        <w:rPr>
          <w:rFonts w:ascii="Times New Roman" w:hAnsi="Times New Roman" w:cs="Times New Roman"/>
          <w:sz w:val="24"/>
          <w:szCs w:val="24"/>
        </w:rPr>
        <w:t>Tourism, economic activity and social well-being can be facilitated by low-cost and regional fliers, but only when the routes are viable</w:t>
      </w:r>
      <w:r w:rsidR="006A46A2">
        <w:rPr>
          <w:rFonts w:ascii="Times New Roman" w:hAnsi="Times New Roman" w:cs="Times New Roman"/>
          <w:sz w:val="24"/>
          <w:szCs w:val="24"/>
        </w:rPr>
        <w:t>,</w:t>
      </w:r>
      <w:r w:rsidRPr="000E48BC">
        <w:rPr>
          <w:rFonts w:ascii="Times New Roman" w:hAnsi="Times New Roman" w:cs="Times New Roman"/>
          <w:sz w:val="24"/>
          <w:szCs w:val="24"/>
        </w:rPr>
        <w:t xml:space="preserve"> and fares are affordable </w:t>
      </w:r>
      <w:r w:rsidRPr="000E48BC">
        <w:rPr>
          <w:rFonts w:ascii="Times New Roman" w:hAnsi="Times New Roman" w:cs="Times New Roman"/>
          <w:sz w:val="24"/>
          <w:szCs w:val="24"/>
          <w:lang w:val="en-AU"/>
        </w:rPr>
        <w:t>(Wang et al., 2024). The report by the Guardian about Rex falling into voluntary receivership illustrates that airline growth may turn out to be costly when its expenditures, demand and approach are not balanced (Visontay, 2024). The project, as such, must start with those routes where the community needs overlap with the tourism demand. Extreme weather cannot be eliminated and must be accommodated within a scope of specific boundaries and be reduced during the seasonal scheduling, passenger communication processes and rebooking strategies.</w:t>
      </w:r>
    </w:p>
    <w:p w:rsidR="000E48BC" w:rsidRP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r w:rsidRPr="000E48BC">
        <w:rPr>
          <w:rFonts w:ascii="Times New Roman" w:hAnsi="Times New Roman" w:cs="Times New Roman"/>
          <w:b/>
          <w:sz w:val="24"/>
          <w:szCs w:val="24"/>
          <w:lang w:val="en-AU"/>
        </w:rPr>
        <w:t>Financial Integration</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lastRenderedPageBreak/>
        <w:t xml:space="preserve">Risk management should be financed as one of the core elements of the secured capital. There should be a risk-controlling mechanism that involves 15% of secured funding that is invested in the project. Safety systems, certification work and compliance preparation should be incorporated in this reserve by 30%. This distribution can be explained by the fact that aviation regulators and safety research pay much attention to the aspects of governance, reporting, and operational assurance (Civil Aviation Safety Authority, 2024). An additional 20% should be set aside as fuel and operating cost contingency since </w:t>
      </w:r>
      <w:r w:rsidRPr="000E48BC">
        <w:rPr>
          <w:rFonts w:ascii="Times New Roman" w:hAnsi="Times New Roman" w:cs="Times New Roman"/>
          <w:sz w:val="24"/>
          <w:szCs w:val="24"/>
        </w:rPr>
        <w:t>fuel volatility may rapidly contribute to airline losses</w:t>
      </w:r>
      <w:r w:rsidRPr="000E48BC">
        <w:rPr>
          <w:rFonts w:ascii="Times New Roman" w:hAnsi="Times New Roman" w:cs="Times New Roman"/>
          <w:sz w:val="24"/>
          <w:szCs w:val="24"/>
          <w:lang w:val="en-AU"/>
        </w:rPr>
        <w:t>. Maintenance assurance, such as audits, spare parts planning and technical oversight, should be financed by another 15%.</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t xml:space="preserve">The rest of the funding must be in people, insurance and confidence among the stakeholders. The process of recruiting and training the workforce should be allocated 15% since shortages in pilots, engineers and safety personnel can postpone the launch process and impact dependability. There should be a 10% </w:t>
      </w:r>
      <w:r w:rsidRPr="000E48BC">
        <w:rPr>
          <w:rFonts w:ascii="Times New Roman" w:hAnsi="Times New Roman" w:cs="Times New Roman"/>
          <w:sz w:val="24"/>
          <w:szCs w:val="24"/>
        </w:rPr>
        <w:t>to assume some of the financial risk associated with the liability, aircraft damage and disruption</w:t>
      </w:r>
      <w:r w:rsidRPr="000E48BC">
        <w:rPr>
          <w:rFonts w:ascii="Times New Roman" w:hAnsi="Times New Roman" w:cs="Times New Roman"/>
          <w:sz w:val="24"/>
          <w:szCs w:val="24"/>
          <w:lang w:val="en-AU"/>
        </w:rPr>
        <w:t xml:space="preserve">. The last 10% should be dedicated to stakeholder involvement and oversight. </w:t>
      </w:r>
      <w:r w:rsidRPr="000E48BC">
        <w:rPr>
          <w:rFonts w:ascii="Times New Roman" w:hAnsi="Times New Roman" w:cs="Times New Roman"/>
          <w:sz w:val="24"/>
          <w:szCs w:val="24"/>
        </w:rPr>
        <w:t xml:space="preserve">The aviation subsidy study reveals that the regional air services are evaluated based on criteria like the access to destinations, the frequency of flights, the business rates in the region, medical accessibility and quick response to hazards </w:t>
      </w:r>
      <w:r w:rsidRPr="000E48BC">
        <w:rPr>
          <w:rFonts w:ascii="Times New Roman" w:hAnsi="Times New Roman" w:cs="Times New Roman"/>
          <w:sz w:val="24"/>
          <w:szCs w:val="24"/>
          <w:lang w:val="en-AU"/>
        </w:rPr>
        <w:t>(Wu et al., 2024). Involvement in funding is thus not voluntary since it safeguards the social licence of the project.</w:t>
      </w:r>
    </w:p>
    <w:p w:rsidR="000E48BC" w:rsidRP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r w:rsidRPr="000E48BC">
        <w:rPr>
          <w:rFonts w:ascii="Times New Roman" w:hAnsi="Times New Roman" w:cs="Times New Roman"/>
          <w:b/>
          <w:sz w:val="24"/>
          <w:szCs w:val="24"/>
          <w:lang w:val="en-AU"/>
        </w:rPr>
        <w:t>Continuous Risk Monitoring</w:t>
      </w:r>
    </w:p>
    <w:p w:rsidR="000E48BC" w:rsidRP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t xml:space="preserve">Constant observation will help to keep the plan on track in the execution of the project. </w:t>
      </w:r>
      <w:r w:rsidRPr="000E48BC">
        <w:rPr>
          <w:rFonts w:ascii="Times New Roman" w:hAnsi="Times New Roman" w:cs="Times New Roman"/>
          <w:sz w:val="24"/>
          <w:szCs w:val="24"/>
        </w:rPr>
        <w:t>The project manager is expected to have a live risk register that must be reviewed on a weekly basis in the planning phase and monthly post the launch</w:t>
      </w:r>
      <w:r w:rsidRPr="000E48BC">
        <w:rPr>
          <w:rFonts w:ascii="Times New Roman" w:hAnsi="Times New Roman" w:cs="Times New Roman"/>
          <w:sz w:val="24"/>
          <w:szCs w:val="24"/>
          <w:lang w:val="en-AU"/>
        </w:rPr>
        <w:t xml:space="preserve">. The approval milestones, aircraft availability, maintenance findings, staff vacancies, fuel variance, load factors, cancellations, </w:t>
      </w:r>
      <w:r w:rsidRPr="000E48BC">
        <w:rPr>
          <w:rFonts w:ascii="Times New Roman" w:hAnsi="Times New Roman" w:cs="Times New Roman"/>
          <w:sz w:val="24"/>
          <w:szCs w:val="24"/>
          <w:lang w:val="en-AU"/>
        </w:rPr>
        <w:lastRenderedPageBreak/>
        <w:t>complaints and community feedback should be provided to the steering committee as a dashboard. The airport research conducted in the region indicates that such airports tend to play the social, economic, and accessibility roles, particularly in the cases of remote and rural locations (Pauwels et al., 2024). Therefore, when monitoring, both commercial and communal indicators should be taken into account. In case of a high or extreme risk deterioration, the risk owner should present a corrective action plan within 5 working days.</w:t>
      </w:r>
    </w:p>
    <w:p w:rsidR="000E48BC" w:rsidRPr="000E48BC" w:rsidRDefault="000E48BC" w:rsidP="000E48BC">
      <w:pPr>
        <w:spacing w:before="100" w:beforeAutospacing="1" w:after="0" w:line="480" w:lineRule="auto"/>
        <w:contextualSpacing/>
        <w:jc w:val="both"/>
        <w:rPr>
          <w:rFonts w:ascii="Times New Roman" w:hAnsi="Times New Roman" w:cs="Times New Roman"/>
          <w:b/>
          <w:sz w:val="24"/>
          <w:szCs w:val="24"/>
          <w:lang w:val="en-AU"/>
        </w:rPr>
      </w:pPr>
      <w:r w:rsidRPr="000E48BC">
        <w:rPr>
          <w:rFonts w:ascii="Times New Roman" w:hAnsi="Times New Roman" w:cs="Times New Roman"/>
          <w:b/>
          <w:sz w:val="24"/>
          <w:szCs w:val="24"/>
          <w:lang w:val="en-AU"/>
        </w:rPr>
        <w:t>Conclusion</w:t>
      </w:r>
    </w:p>
    <w:p w:rsidR="0038438D"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r w:rsidRPr="000E48BC">
        <w:rPr>
          <w:rFonts w:ascii="Times New Roman" w:hAnsi="Times New Roman" w:cs="Times New Roman"/>
          <w:sz w:val="24"/>
          <w:szCs w:val="24"/>
          <w:lang w:val="en-AU"/>
        </w:rPr>
        <w:t xml:space="preserve">It is only through discipline in managing risk that the Northern Australia regional airline can enhance access, tourism and reduce dependence on the expensive charter services. </w:t>
      </w:r>
      <w:r w:rsidRPr="000E48BC">
        <w:rPr>
          <w:rFonts w:ascii="Times New Roman" w:hAnsi="Times New Roman" w:cs="Times New Roman"/>
          <w:sz w:val="24"/>
          <w:szCs w:val="24"/>
        </w:rPr>
        <w:t>The key risks are the failure to be safe, the delay in approval, the vulnerability of maintenance, the instability of fuel, the shortage of workforce, low demand, inadequate infrastructure, and poor stakeholder interactions.</w:t>
      </w:r>
      <w:r w:rsidRPr="000E48BC">
        <w:rPr>
          <w:rFonts w:ascii="Times New Roman" w:hAnsi="Times New Roman" w:cs="Times New Roman"/>
          <w:sz w:val="24"/>
          <w:szCs w:val="24"/>
          <w:lang w:val="en-AU"/>
        </w:rPr>
        <w:t xml:space="preserve"> This project uses a well-defined risk matrix, a set of clear risk thresholds, and a response plan with funds that will be used and monitored. The steps that should be taken in the project are staged implementation, strong safety management and proper choice of route. The airline is able to expand regionally and ensure the security of passengers, investors and communities with responsible risk owners and prompt corrective measures.</w:t>
      </w:r>
    </w:p>
    <w:p w:rsid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p>
    <w:p w:rsid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p>
    <w:p w:rsid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p>
    <w:p w:rsid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p>
    <w:p w:rsid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p>
    <w:p w:rsid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p>
    <w:p w:rsidR="000E48BC" w:rsidRDefault="000E48BC" w:rsidP="000E48BC">
      <w:pPr>
        <w:spacing w:before="100" w:beforeAutospacing="1" w:after="0" w:line="480" w:lineRule="auto"/>
        <w:ind w:firstLine="720"/>
        <w:contextualSpacing/>
        <w:jc w:val="both"/>
        <w:rPr>
          <w:rFonts w:ascii="Times New Roman" w:hAnsi="Times New Roman" w:cs="Times New Roman"/>
          <w:sz w:val="24"/>
          <w:szCs w:val="24"/>
          <w:lang w:val="en-AU"/>
        </w:rPr>
      </w:pPr>
    </w:p>
    <w:p w:rsidR="000E48BC" w:rsidRPr="000E48BC" w:rsidRDefault="000E48BC" w:rsidP="000E48BC">
      <w:pPr>
        <w:spacing w:before="100" w:beforeAutospacing="1" w:after="0" w:line="480" w:lineRule="auto"/>
        <w:ind w:firstLine="720"/>
        <w:contextualSpacing/>
        <w:jc w:val="center"/>
        <w:rPr>
          <w:rFonts w:ascii="Times New Roman" w:hAnsi="Times New Roman" w:cs="Times New Roman"/>
          <w:b/>
          <w:sz w:val="24"/>
          <w:szCs w:val="24"/>
          <w:lang w:val="en-AU"/>
        </w:rPr>
      </w:pPr>
      <w:r w:rsidRPr="000E48BC">
        <w:rPr>
          <w:rFonts w:ascii="Times New Roman" w:hAnsi="Times New Roman" w:cs="Times New Roman"/>
          <w:b/>
          <w:sz w:val="24"/>
          <w:szCs w:val="24"/>
          <w:lang w:val="en-AU"/>
        </w:rPr>
        <w:lastRenderedPageBreak/>
        <w:t>Reference</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Australian Government. (2024, September 26). Aviation White Paper—Towards 2050. Department of Infrastructure, Transport, Regional Development, Communications and the Arts. https://www.infrastructure.gov.au/department/media/publications/aviation-white-paper-towards-2050</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Cai, Y., Zhang, Y., &amp; Zhang, A. (2025). Oil price shocks and airlines stock return and volatility – A GFEVD analysis. Economics of Transportation, 41, 100396. https://doi.org/10.1016/j.ecotra.2025.100396</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Civil Aviation Safety Authority. (2024, August 8). Corporate plan 2024–25. https://www.casa.gov.au/resources-and-education/publications/corporate-publications/corporate-plan-2024-25</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Kıvanç, E., Tuzkaya, G., &amp; Vayvay, Ö. (2025). Safety management system and risk-based approach in aviation maintenance: A systematic literature review. Safety Science, 184, 106755. https://doi.org/10.1016/j.ssci.2024.106755</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Pauwels, J., Buyle, S., &amp; Dewulf, W. (2024). Regional airports revisited: Unveiling pressing research gaps and proposing a uniform definition. Journal of the Air Transport Research Society, 2, 100008. https://doi.org/10.1016/j.jatrs.2024.100008</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Stroeve, S., Smeltink, J., &amp; Kirwan, B. (2022). Assessing and advancing safety management in aviation. Safety, 8(2), 20. https://doi.org/10.3390/safety8020020</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Sun, X., Zheng, C., Wandelt, S., &amp; Zhang, A. (2024). Airline competition: A comprehensive review of recent research. Journal of the Air Transport Research Society, 2, 100013. https://doi.org/10.1016/j.jatrs.2024.100013</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lastRenderedPageBreak/>
        <w:t>Visontay, E. (2024, July 30). Rex airlines enters voluntary administration with all flights between capital cities grounded. The Guardian. https://www.theguardian.com/business/article/2024/jul/30/rex-airlines-federal-government</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 xml:space="preserve">Wang, H., Tsui, K. W. H., Wu, H., Fu, X., &amp; Kille, T. (2024). Impacts of low-cost carriers’ development in the Asia-Pacific region on tourism, economic development and social </w:t>
      </w:r>
      <w:bookmarkStart w:id="0" w:name="_GoBack"/>
      <w:r w:rsidRPr="000E48BC">
        <w:rPr>
          <w:rFonts w:ascii="Times New Roman" w:hAnsi="Times New Roman" w:cs="Times New Roman"/>
          <w:sz w:val="24"/>
          <w:szCs w:val="24"/>
          <w:lang w:val="en-AU"/>
        </w:rPr>
        <w:t>well</w:t>
      </w:r>
      <w:bookmarkEnd w:id="0"/>
      <w:r w:rsidRPr="000E48BC">
        <w:rPr>
          <w:rFonts w:ascii="Times New Roman" w:hAnsi="Times New Roman" w:cs="Times New Roman"/>
          <w:sz w:val="24"/>
          <w:szCs w:val="24"/>
          <w:lang w:val="en-AU"/>
        </w:rPr>
        <w:t>being. Current Issues in Tourism, 1–22. https://doi.org/10.1080/13683500.2024.2413669</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Wang, S., &amp; Gao, Y. (2021). A literature review and citation analyses of air travel demand studies published between 2010 and 2020. Journal of Air Transport Management, 97, 102135. https://doi.org/10.1016/j.jairtraman.2021.102135</w:t>
      </w:r>
    </w:p>
    <w:p w:rsidR="000E48BC" w:rsidRPr="000E48BC" w:rsidRDefault="000E48BC" w:rsidP="000E48BC">
      <w:pPr>
        <w:spacing w:before="100" w:beforeAutospacing="1" w:after="0" w:line="480" w:lineRule="auto"/>
        <w:ind w:left="720" w:hanging="720"/>
        <w:contextualSpacing/>
        <w:rPr>
          <w:rFonts w:ascii="Times New Roman" w:hAnsi="Times New Roman" w:cs="Times New Roman"/>
          <w:sz w:val="24"/>
          <w:szCs w:val="24"/>
          <w:lang w:val="en-AU"/>
        </w:rPr>
      </w:pPr>
      <w:r w:rsidRPr="000E48BC">
        <w:rPr>
          <w:rFonts w:ascii="Times New Roman" w:hAnsi="Times New Roman" w:cs="Times New Roman"/>
          <w:sz w:val="24"/>
          <w:szCs w:val="24"/>
          <w:lang w:val="en-AU"/>
        </w:rPr>
        <w:t>Wu, H., Lin, Y.-H., Ngo, T., &amp; Hong Tsui, K. W. (2024). Aviation subsidy policy and regional wellbeing. Case Studies on Transport Policy, 16, 101181. https://doi.org/10.1016/j.cstp.2024.101181</w:t>
      </w:r>
    </w:p>
    <w:sectPr w:rsidR="000E48BC" w:rsidRPr="000E48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22E" w:rsidRDefault="00B0122E" w:rsidP="000E48BC">
      <w:pPr>
        <w:spacing w:after="0" w:line="240" w:lineRule="auto"/>
      </w:pPr>
      <w:r>
        <w:separator/>
      </w:r>
    </w:p>
  </w:endnote>
  <w:endnote w:type="continuationSeparator" w:id="0">
    <w:p w:rsidR="00B0122E" w:rsidRDefault="00B0122E"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22E" w:rsidRDefault="00B0122E" w:rsidP="000E48BC">
      <w:pPr>
        <w:spacing w:after="0" w:line="240" w:lineRule="auto"/>
      </w:pPr>
      <w:r>
        <w:separator/>
      </w:r>
    </w:p>
  </w:footnote>
  <w:footnote w:type="continuationSeparator" w:id="0">
    <w:p w:rsidR="00B0122E" w:rsidRDefault="00B0122E" w:rsidP="000E4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22434"/>
      <w:docPartObj>
        <w:docPartGallery w:val="Page Numbers (Top of Page)"/>
        <w:docPartUnique/>
      </w:docPartObj>
    </w:sdtPr>
    <w:sdtEndPr>
      <w:rPr>
        <w:noProof/>
      </w:rPr>
    </w:sdtEndPr>
    <w:sdtContent>
      <w:p w:rsidR="000E48BC" w:rsidRDefault="000E48BC">
        <w:pPr>
          <w:pStyle w:val="Header"/>
          <w:jc w:val="right"/>
        </w:pPr>
        <w:r>
          <w:fldChar w:fldCharType="begin"/>
        </w:r>
        <w:r>
          <w:instrText xml:space="preserve"> PAGE   \* MERGEFORMAT </w:instrText>
        </w:r>
        <w:r>
          <w:fldChar w:fldCharType="separate"/>
        </w:r>
        <w:r w:rsidR="006A46A2">
          <w:rPr>
            <w:noProof/>
          </w:rPr>
          <w:t>4</w:t>
        </w:r>
        <w:r>
          <w:rPr>
            <w:noProof/>
          </w:rPr>
          <w:fldChar w:fldCharType="end"/>
        </w:r>
      </w:p>
    </w:sdtContent>
  </w:sdt>
  <w:p w:rsidR="000E48BC" w:rsidRDefault="000E4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YwNbQ0MAOSxsbmZko6SsGpxcWZ+XkgBUa1ADpAHgUsAAAA"/>
  </w:docVars>
  <w:rsids>
    <w:rsidRoot w:val="000E48BC"/>
    <w:rsid w:val="000242B1"/>
    <w:rsid w:val="000E48BC"/>
    <w:rsid w:val="0038438D"/>
    <w:rsid w:val="00484B4D"/>
    <w:rsid w:val="006A46A2"/>
    <w:rsid w:val="00B0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F73A"/>
  <w15:chartTrackingRefBased/>
  <w15:docId w15:val="{0176C475-7977-4D70-9135-BFBBB07F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sor-pointer">
    <w:name w:val="cursor-pointer"/>
    <w:basedOn w:val="DefaultParagraphFont"/>
    <w:rsid w:val="000E48BC"/>
  </w:style>
  <w:style w:type="paragraph" w:styleId="Header">
    <w:name w:val="header"/>
    <w:basedOn w:val="Normal"/>
    <w:link w:val="HeaderChar"/>
    <w:uiPriority w:val="99"/>
    <w:unhideWhenUsed/>
    <w:rsid w:val="000E4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8BC"/>
  </w:style>
  <w:style w:type="paragraph" w:styleId="Footer">
    <w:name w:val="footer"/>
    <w:basedOn w:val="Normal"/>
    <w:link w:val="FooterChar"/>
    <w:uiPriority w:val="99"/>
    <w:unhideWhenUsed/>
    <w:rsid w:val="000E4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dc:creator>
  <cp:keywords/>
  <dc:description/>
  <cp:lastModifiedBy>SIEN</cp:lastModifiedBy>
  <cp:revision>5</cp:revision>
  <dcterms:created xsi:type="dcterms:W3CDTF">2026-05-12T09:31:00Z</dcterms:created>
  <dcterms:modified xsi:type="dcterms:W3CDTF">2026-05-12T11:06:00Z</dcterms:modified>
</cp:coreProperties>
</file>