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Calibri" w:hAnsi="Calibri"/>
          <w:b/>
          <w:i w:val="0"/>
          <w:color w:val="0B2545"/>
          <w:sz w:val="44"/>
        </w:rPr>
        <w:t>Government Role in Consumer Behavior</w:t>
      </w:r>
    </w:p>
    <w:p>
      <w:pPr>
        <w:spacing w:after="240"/>
      </w:pPr>
      <w:r>
        <w:rPr>
          <w:rFonts w:ascii="Calibri" w:hAnsi="Calibri"/>
          <w:b w:val="0"/>
          <w:i/>
          <w:color w:val="555555"/>
          <w:sz w:val="26"/>
        </w:rPr>
        <w:t>Working Draft Outline for a 4-Page Paper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1. Resource Readiness Check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All major resources are now in place for a strong outline and later draft. This roadmap uses the assignment brief, textbook, course links, Florida policy sources, EPA sources, and added peer-reviewed food-waste/consumer behavior research.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Assignment requirements: minimum three pages; target is four pages; APA format; at least three in-text citations and matching references.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Policy focus: Florida recycling, organics recycling, and food-waste diversion under Florida Statute 403.706 and Florida DEP guidance.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Scholarly support added: Stancu et al. (2016), Visschers et al. (2016), and Yoon &amp; Meyvis (2024).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No major missing resource remains. The only optional improvement would be naming a specific Florida county/city if the instructor wants an even narrower local community example.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2. Controlling Idea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Working thesis: Florida should take a more active role in food-waste diversion and organics recycling because consumers often support responsible disposal but need convenient systems, clear instructions, and behavioral cues that turn good intentions into consistent action.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Why this works: The thesis naturally covers the three rubric demands: government influence over a product lifecycle issue, consumer behavior in acquisition/consumption/disposal, and an evaluation of whether government should take a more or less active role.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3. Source Placement Map</w:t>
      </w:r>
    </w:p>
    <w:tbl>
      <w:tblPr>
        <w:tblStyle w:val="TableGrid"/>
        <w:tblW w:type="dxa" w:w="9360"/>
        <w:tblLook w:firstColumn="1" w:firstRow="1" w:lastColumn="0" w:lastRow="0" w:noHBand="0" w:noVBand="1" w:val="04A0"/>
        <w:tblLayout w:type="fixed"/>
      </w:tblPr>
      <w:tblGrid>
        <w:gridCol w:w="2100"/>
        <w:gridCol w:w="3100"/>
        <w:gridCol w:w="2600"/>
        <w:gridCol w:w="1560"/>
      </w:tblGrid>
      <w:tr>
        <w:tc>
          <w:tcPr>
            <w:tcW w:type="dxa" w:w="2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B2545"/>
                <w:sz w:val="20"/>
              </w:rPr>
              <w:t>Source</w:t>
            </w:r>
          </w:p>
        </w:tc>
        <w:tc>
          <w:tcPr>
            <w:tcW w:type="dxa" w:w="31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B2545"/>
                <w:sz w:val="20"/>
              </w:rPr>
              <w:t>Use in Paper</w:t>
            </w:r>
          </w:p>
        </w:tc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B2545"/>
                <w:sz w:val="20"/>
              </w:rPr>
              <w:t>Best Paragraphs</w:t>
            </w:r>
          </w:p>
        </w:tc>
        <w:tc>
          <w:tcPr>
            <w:tcW w:type="dxa" w:w="15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B2545"/>
                <w:sz w:val="20"/>
              </w:rPr>
              <w:t>Type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Babin &amp; Harris (2022)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Perception, learning, attention, nudge marketing.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3, 4, 7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Textbook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Florida Statute 403.706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Legal basis for local solid waste and recycling responsibility.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2, 5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Policy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Florida DEP Recycling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Current state priorities: recycling, organics, education, outreach.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2, 5, 8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Agency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EPA Wasted Food Scale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Why food should be prevented, recovered, composted, not landfilled.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4, 6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Gov. evidence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EPA Composting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Composting benefits and landfill diversion rationale.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5, 6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Gov. evidence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Stancu et al. (2016)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Food waste tied to routines, planning, shopping, household management.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3, 6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Peer-reviewed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Visschers et al. (2016)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Motivators/barriers for household food-waste behavior.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4, 6, 8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Peer-reviewed</w:t>
            </w:r>
          </w:p>
        </w:tc>
      </w:tr>
      <w:tr>
        <w:tc>
          <w:tcPr>
            <w:tcW w:type="dxa" w:w="2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Yoon &amp; Meyvis (2024)</w:t>
            </w:r>
          </w:p>
        </w:tc>
        <w:tc>
          <w:tcPr>
            <w:tcW w:type="dxa" w:w="31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Consumers mispredict consumption; habits and context affect actual use.</w:t>
            </w:r>
          </w:p>
        </w:tc>
        <w:tc>
          <w:tcPr>
            <w:tcW w:type="dxa" w:w="260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3</w:t>
            </w:r>
          </w:p>
        </w:tc>
        <w:tc>
          <w:tcPr>
            <w:tcW w:type="dxa" w:w="1560"/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sz w:val="18"/>
              </w:rPr>
              <w:t>Peer-reviewed</w:t>
            </w:r>
          </w:p>
        </w:tc>
      </w:tr>
    </w:tbl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4. Four-Page Paper Budget</w:t>
      </w:r>
    </w:p>
    <w:p>
      <w:pPr>
        <w:pStyle w:val="ListNumber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Introduction: 1 paragraph, about half a page. Introduce food waste as a product-disposal and consumer-behavior issue.</w:t>
      </w:r>
    </w:p>
    <w:p>
      <w:pPr>
        <w:pStyle w:val="ListNumber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Policy background: 1 paragraph, about half a page. Explain Florida law, DEP role, and why this is a government influence issue.</w:t>
      </w:r>
    </w:p>
    <w:p>
      <w:pPr>
        <w:pStyle w:val="ListNumber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Consumer role: 2 paragraphs, about one page. Cover acquisition, consumption, overbuying, habits, perception, and disposal decisions.</w:t>
      </w:r>
    </w:p>
    <w:p>
      <w:pPr>
        <w:pStyle w:val="ListNumber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Government role and effectiveness: 2 paragraphs, about one page. Assess current influence and whether the approach changes behavior.</w:t>
      </w:r>
    </w:p>
    <w:p>
      <w:pPr>
        <w:pStyle w:val="ListNumber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Recommendation and limitations: 2 paragraphs, about three-quarters to one page. Argue for a more active role while acknowledging costs and barriers.</w:t>
      </w:r>
    </w:p>
    <w:p>
      <w:pPr>
        <w:pStyle w:val="ListNumber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Conclusion: 1 paragraph, about one-quarter to one-half page. Synthesize policy and consumer behavior.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5. Paragraph-by-Paragraph Blueprint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1: Introduction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Introduce food waste as a consumer behavior issue. Cover acquisition, consumption, disposal, and Florida as the policy setting. Source use: optional Florida Statute or DEP if you want an early citation. Starter: Food waste is not only an environmental issue; it is also a consumer behavior issue because consumers decide what to buy, what to use, and how to dispose of what remains. Rubric: frames product lifecycle and government influence.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2: Florida Policy Background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Describe the government policy/action. Cover Florida Statute 403.706, county solid-waste responsibilities, DEP recycling/organics priorities, and education/outreach. Sources: Florida Senate; Florida DEP. Starter: Florida already influences food disposal through its solid waste and recycling framework. Rubric: describes government influence.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3: Consumer Acquisition and Consumption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Assess how consumers help create food waste before disposal. Cover overbuying, promotions, habits, convenience, planning, storage, and inaccurate predictions. Sources: Stancu et al.; Yoon &amp; Meyvis; Babin &amp; Harris. Starter: Food waste often begins before disposal because consumers may buy more than they can realistically consume. Rubric: consumer role in acquisition and consumption.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4: Consumer Disposal Decisions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Explain how consumers decide between trash, compost, donation, or recovery. Cover perception of food scraps, confusion, convenience, and learning. Sources: Babin &amp; Harris; Visschers et al.; EPA Wasted Food Scale. Starter: At the disposal stage, consumers must first perceive food scraps as recoverable material rather than ordinary garbage. Rubric: consumer role in disposal.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5: Current Government Influence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Assess what Florida currently does. Cover state goals, local implementation, education, outreach, and uneven access across counties. Sources: Florida DEP; Florida Statute 403.706; EPA Composting. Starter: Florida's current government role is meaningful but limited because state guidance depends on local implementation. Rubric: government role and influence.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6: Effectiveness of Intervention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Evaluate whether current and proposed interventions can change behavior. Cover convenience, barriers, contamination, awareness, and routine. Sources: Visschers et al.; Stancu et al.; EPA sources. Starter: Government intervention is most likely to work when it reduces friction and makes food-waste diversion easier than the default trash option. Rubric: estimates effectiveness.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7: More Active Role Recommendation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Argue Florida should be more active. Cover drop-off sites, curbside pilots, standard labels, public education, school/grocery partnerships, and resident feedback. Sources: Babin &amp; Harris; Florida DEP; EPA. Starter: Florida should take a more active role, but the strongest approach would focus on access and learning before punishment. Rubric: evaluates more vs. less active role.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8: Limitations and Balance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Show critical thinking. Cover cost, infrastructure, county variation, contamination, and why punitive-only policy may fail. Sources: Visschers et al.; Florida DEP. Starter: A more active role should still account for local differences and consumer resistance. Rubric: distinguished-level nuance and unintended consequences.</w:t>
      </w:r>
    </w:p>
    <w:p>
      <w:pPr>
        <w:pStyle w:val="Heading2"/>
        <w:spacing w:before="240" w:after="120"/>
      </w:pPr>
      <w:r>
        <w:rPr>
          <w:rFonts w:ascii="Calibri" w:hAnsi="Calibri"/>
          <w:b/>
          <w:i w:val="0"/>
          <w:color w:val="2E74B5"/>
          <w:sz w:val="26"/>
        </w:rPr>
        <w:t>Paragraph 9: Conclusion</w:t>
      </w:r>
    </w:p>
    <w:p>
      <w:pPr>
        <w:spacing w:line="269" w:lineRule="auto" w:after="120"/>
      </w:pPr>
      <w:r>
        <w:rPr>
          <w:rFonts w:ascii="Calibri" w:hAnsi="Calibri"/>
          <w:b w:val="0"/>
          <w:i w:val="0"/>
          <w:sz w:val="22"/>
        </w:rPr>
        <w:t>Job: Synthesize the argument. Restate that consumer choice and public systems interact. Source use: no new source needed. Starter: Food-waste diversion shows that consumer behavior and government policy cannot be separated. Rubric: closes the government/consumer behavior assessment.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6. Evidence Bank by Source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Babin &amp; Harris: Use for perception, learning, attention, and nudge marketing. Best claim: consumers need clear cues and repeated learning to treat food scraps as recoverable.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Stancu et al.: Use for routines, planning, shopping habits, and household management as drivers of food waste.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Visschers et al.: Use for barriers and motivators, especially the idea that food-waste behavior is shaped by perceived control and everyday routines.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Yoon &amp; Meyvis: Use for over-purchasing and inaccurate consumption predictions; consumers do not always consume based on preference alone.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 Statute/DEP: Use for current government role and state/local responsibility.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EPA: Use for environmental rationale and why composting/diversion is preferable to landfilling.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7. Draft-Ready Language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Florida's policy framework matters because consumer disposal choices are shaped by the options local governments make available.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The problem is not simply that consumers lack good intentions; it is that habits, convenience, and unclear systems often override intention.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A more active role should make the responsible disposal choice easier, clearer, and more routine.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Education should be paired with practical access, because information alone may not change behavior if composting feels inconvenient.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 does not need to remove consumer choice; it needs to design better choices into everyday disposal routines.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8. APA Citation Scaffolds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Consumer food-waste behavior is shaped by routines, planning, and shopping habits (Stancu et al., 2016).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Household food-waste behavior is influenced by motivators and barriers that affect perceived control (Visschers et al., 2016).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Consumers may mispredict consumption because habits and situations affect actual use more than preference alone (Yoon &amp; Meyvis, 2024).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Florida's solid-waste and recycling responsibilities are established in state law (Florida Senate, 2025).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 DEP identifies recycling, waste reduction, organics, and education as part of state recycling work (Florida Department of Environmental Protection, n.d.).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EPA ranks food-waste prevention, recovery, and composting above landfill disposal (U.S. Environmental Protection Agency, n.d.).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9. Reference List Starter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Babin, B. J., &amp; Harris, E. (2022). CB9: Consumer behavior (9th ed.). Cengage.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 Department of Environmental Protection. (n.d.). Recycling. https://floridadep.gov/waste/waste-reduction/content/recycling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Florida Senate. (2025). The 2025 Florida Statutes: Section 403.706. https://www.flsenate.gov/Laws/Statutes/2025/403.706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Stancu, V., Haugaard, P., &amp; Lähteenmäki, L. (2016). Determinants of consumer food waste behaviour: Two routes to food waste. Appetite, 96, 7-17. https://doi.org/10.1016/j.appet.2015.08.025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U.S. Environmental Protection Agency. (n.d.). Composting. https://www.epa.gov/sustainable-management-food/composting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U.S. Environmental Protection Agency. (n.d.). Wasted Food Scale. https://www.epa.gov/sustainable-management-food/wasted-food-scale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Visschers, V. H. M., Wickli, N., &amp; Siegrist, M. (2016). Sorting out food waste behaviour: A survey on the motivators and barriers of self-reported amounts of food waste in households. Journal of Environmental Psychology, 45, 66-78. https://doi.org/10.1016/j.jenvp.2015.11.007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Yoon, H., &amp; Meyvis, T. (2024). Consuming regardless of preference: Consumers overestimate the impact of liking on consumption. Journal of Consumer Research, 51, 474-496. https://doi.org/10.1093/jcr/ucae021</w:t>
      </w:r>
    </w:p>
    <w:p>
      <w:pPr>
        <w:pStyle w:val="Heading1"/>
        <w:spacing w:before="320" w:after="160"/>
      </w:pPr>
      <w:r>
        <w:rPr>
          <w:rFonts w:ascii="Calibri" w:hAnsi="Calibri"/>
          <w:b/>
          <w:i w:val="0"/>
          <w:color w:val="2E74B5"/>
          <w:sz w:val="32"/>
        </w:rPr>
        <w:t>10. Final Rubric Checklist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Names a Florida government policy/action connected to product disposal.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Explains acquisition, consumption, and disposal behavior.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Assesses current government control and influence.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Evaluates whether Florida should take a more or less active role.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Uses at least three peer-reviewed/credible sources with matching APA references.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Includes effectiveness, limitations, and possible unintended consequences.</w:t>
      </w:r>
    </w:p>
    <w:p>
      <w:pPr>
        <w:pStyle w:val="ListBullet"/>
        <w:spacing w:line="269" w:lineRule="auto" w:after="80"/>
      </w:pPr>
      <w:r>
        <w:rPr>
          <w:rFonts w:ascii="Calibri" w:hAnsi="Calibri"/>
          <w:b w:val="0"/>
          <w:i w:val="0"/>
          <w:sz w:val="22"/>
        </w:rPr>
        <w:t>Targets four pages of body text plus references.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666666"/>
        <w:sz w:val="18"/>
      </w:rPr>
      <w:t>Working Draft Outline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9" w:lineRule="auto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