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910B5" w:rsidRDefault="00743D91" w:rsidP="009910B5">
      <w:pPr>
        <w:pStyle w:val="NormalWeb"/>
        <w:shd w:val="clear" w:color="auto" w:fill="FFFFFF"/>
        <w:rPr>
          <w:rFonts w:ascii="Open Sans" w:hAnsi="Open Sans" w:cs="Open Sans"/>
          <w:b/>
          <w:bCs/>
          <w:color w:val="212121"/>
          <w:spacing w:val="2"/>
          <w:sz w:val="22"/>
          <w:szCs w:val="22"/>
        </w:rPr>
      </w:pPr>
      <w:r w:rsidRPr="009910B5">
        <w:rPr>
          <w:rFonts w:ascii="Open Sans" w:hAnsi="Open Sans" w:cs="Open Sans"/>
          <w:b/>
          <w:bCs/>
          <w:color w:val="212121"/>
          <w:spacing w:val="2"/>
          <w:sz w:val="22"/>
          <w:szCs w:val="22"/>
        </w:rPr>
        <w:t>Topic 4 DQ 2</w:t>
      </w:r>
      <w:r w:rsidR="009910B5">
        <w:rPr>
          <w:rFonts w:ascii="Open Sans" w:hAnsi="Open Sans" w:cs="Open Sans"/>
          <w:b/>
          <w:bCs/>
          <w:color w:val="212121"/>
          <w:spacing w:val="2"/>
          <w:sz w:val="22"/>
          <w:szCs w:val="22"/>
        </w:rPr>
        <w:t xml:space="preserve"> Responses</w:t>
      </w:r>
    </w:p>
    <w:p w:rsidR="009910B5" w:rsidRDefault="009910B5" w:rsidP="009910B5">
      <w:pPr>
        <w:pStyle w:val="NormalWeb"/>
        <w:shd w:val="clear" w:color="auto" w:fill="FFFFFF"/>
        <w:rPr>
          <w:rFonts w:ascii="Open Sans" w:hAnsi="Open Sans" w:cs="Open Sans"/>
          <w:b/>
          <w:bCs/>
          <w:color w:val="212121"/>
          <w:spacing w:val="2"/>
          <w:sz w:val="22"/>
          <w:szCs w:val="22"/>
        </w:rPr>
      </w:pPr>
      <w:r>
        <w:rPr>
          <w:rFonts w:ascii="Open Sans" w:hAnsi="Open Sans" w:cs="Open Sans"/>
          <w:b/>
          <w:bCs/>
          <w:color w:val="212121"/>
          <w:spacing w:val="2"/>
          <w:sz w:val="22"/>
          <w:szCs w:val="22"/>
        </w:rPr>
        <w:t>Chiara’s Discussion</w:t>
      </w:r>
    </w:p>
    <w:p w:rsidR="009910B5" w:rsidRPr="009910B5" w:rsidRDefault="009910B5" w:rsidP="009910B5">
      <w:pPr>
        <w:pStyle w:val="NormalWeb"/>
        <w:shd w:val="clear" w:color="auto" w:fill="FFFFFF"/>
        <w:rPr>
          <w:rFonts w:ascii="Open Sans" w:hAnsi="Open Sans" w:cs="Open Sans"/>
          <w:b/>
          <w:bCs/>
          <w:color w:val="212121"/>
          <w:spacing w:val="2"/>
          <w:sz w:val="22"/>
          <w:szCs w:val="22"/>
        </w:rPr>
      </w:pPr>
      <w:r>
        <w:rPr>
          <w:rFonts w:ascii="Open Sans" w:hAnsi="Open Sans" w:cs="Open Sans"/>
          <w:color w:val="212121"/>
          <w:spacing w:val="2"/>
          <w:sz w:val="21"/>
          <w:szCs w:val="21"/>
        </w:rPr>
        <w:t>Implementing an evidence-based practice change requires selecting a framework that supports both the change process and successful integration into clinical practice. Two widely recognized theories are Lewin's Change Theory and the Iowa Model of Evidence-Based Practice. While both promote systematic change, they differ in their primary focus and application.</w:t>
      </w:r>
      <w:r>
        <w:rPr>
          <w:rFonts w:ascii="Open Sans" w:hAnsi="Open Sans" w:cs="Open Sans"/>
          <w:color w:val="212121"/>
          <w:spacing w:val="2"/>
          <w:sz w:val="21"/>
          <w:szCs w:val="21"/>
        </w:rPr>
        <w:t xml:space="preserve"> </w:t>
      </w:r>
      <w:r>
        <w:rPr>
          <w:rFonts w:ascii="Open Sans" w:hAnsi="Open Sans" w:cs="Open Sans"/>
          <w:color w:val="000000"/>
          <w:sz w:val="21"/>
          <w:szCs w:val="21"/>
        </w:rPr>
        <w:t>Lewin's Change Theory consists of three phases: unfreezing, changing, and refreezing. This theory emphasizes preparing staff for change, implementing the intervention, and reinforcing the new practice until it becomes part of the organization's culture. Lewin's model is particularly useful for addressing resistance to change and promoting staff engagement throughout the implementation process.</w:t>
      </w:r>
      <w:r>
        <w:rPr>
          <w:rFonts w:ascii="Open Sans" w:hAnsi="Open Sans" w:cs="Open Sans"/>
          <w:color w:val="212121"/>
          <w:spacing w:val="2"/>
          <w:sz w:val="21"/>
          <w:szCs w:val="21"/>
        </w:rPr>
        <w:t xml:space="preserve"> </w:t>
      </w:r>
      <w:r>
        <w:rPr>
          <w:rFonts w:ascii="Open Sans" w:hAnsi="Open Sans" w:cs="Open Sans"/>
          <w:color w:val="000000"/>
          <w:sz w:val="21"/>
          <w:szCs w:val="21"/>
        </w:rPr>
        <w:t>In contrast, the Iowa Model of Evidence-Based Practice focuses on identifying a clinical problem, evaluating available research, implementing evidence-based interventions, and measuring outcomes. The model encourages interdisciplinary collaboration and continuous evaluation to determine whether the practice change improves patient or staff outcomes. It is specifically designed to translate research evidence into clinical practice.</w:t>
      </w:r>
    </w:p>
    <w:p w:rsidR="009910B5" w:rsidRDefault="009910B5" w:rsidP="009910B5">
      <w:pPr>
        <w:pStyle w:val="NormalWeb"/>
        <w:shd w:val="clear" w:color="auto" w:fill="FFFFFF"/>
        <w:rPr>
          <w:rFonts w:ascii="Open Sans" w:hAnsi="Open Sans" w:cs="Open Sans"/>
          <w:color w:val="000000"/>
          <w:sz w:val="21"/>
          <w:szCs w:val="21"/>
        </w:rPr>
      </w:pPr>
      <w:r>
        <w:rPr>
          <w:rFonts w:ascii="Open Sans" w:hAnsi="Open Sans" w:cs="Open Sans"/>
          <w:color w:val="000000"/>
          <w:sz w:val="21"/>
          <w:szCs w:val="21"/>
        </w:rPr>
        <w:t>For my capstone project, the Iowa Model is the most appropriate framework for implementing a mindfulness-based stress reduction program to reduce burnout and improve resilience among emergency department nurses. Burnout has been identified as an important organizational concern at Advent</w:t>
      </w:r>
      <w:r>
        <w:rPr>
          <w:rFonts w:ascii="Open Sans" w:hAnsi="Open Sans" w:cs="Open Sans"/>
          <w:color w:val="000000"/>
          <w:sz w:val="21"/>
          <w:szCs w:val="21"/>
        </w:rPr>
        <w:t xml:space="preserve"> </w:t>
      </w:r>
      <w:r>
        <w:rPr>
          <w:rFonts w:ascii="Open Sans" w:hAnsi="Open Sans" w:cs="Open Sans"/>
          <w:color w:val="000000"/>
          <w:sz w:val="21"/>
          <w:szCs w:val="21"/>
        </w:rPr>
        <w:t>Health Tampa, where increasing workloads and workplace stress can affect nurse satisfaction, retention, and quality of care. The Iowa Model provides a structured process for identifying burnout as a priority issue, reviewing current evidence, implementing the intervention, and evaluating outcomes such as burnout levels, job satisfaction, and staff retention.</w:t>
      </w:r>
    </w:p>
    <w:p w:rsidR="009910B5" w:rsidRDefault="009910B5" w:rsidP="009910B5">
      <w:pPr>
        <w:pStyle w:val="NormalWeb"/>
        <w:shd w:val="clear" w:color="auto" w:fill="FFFFFF"/>
        <w:rPr>
          <w:rFonts w:ascii="Open Sans" w:hAnsi="Open Sans" w:cs="Open Sans"/>
          <w:color w:val="000000"/>
          <w:sz w:val="21"/>
          <w:szCs w:val="21"/>
        </w:rPr>
      </w:pPr>
      <w:r>
        <w:rPr>
          <w:rFonts w:ascii="Open Sans" w:hAnsi="Open Sans" w:cs="Open Sans"/>
          <w:color w:val="000000"/>
          <w:sz w:val="21"/>
          <w:szCs w:val="21"/>
        </w:rPr>
        <w:t>After discussing the project with my preceptor, they agreed that the Iowa Model aligns well with our clinical environment because it promotes collaboration among leadership and frontline nurses while emphasizing measurable outcomes. My preceptor noted that burnout is a significant concern in both the Emergency Department and inpatient units due to high patient volumes and operational demands. They emphasized that leadership support, staff education, and ongoing evaluation would be essential for successful implementation and long-term sustainability. Their feedback reinforced that an evidence-based intervention focused on nurse well-being could positively impact both staff retention and patient care.</w:t>
      </w:r>
    </w:p>
    <w:p w:rsidR="009910B5" w:rsidRDefault="009910B5" w:rsidP="009910B5">
      <w:pPr>
        <w:pStyle w:val="NormalWeb"/>
        <w:shd w:val="clear" w:color="auto" w:fill="FFFFFF"/>
        <w:spacing w:before="0" w:after="0"/>
        <w:rPr>
          <w:rFonts w:ascii="Open Sans" w:hAnsi="Open Sans" w:cs="Open Sans"/>
          <w:color w:val="000000"/>
          <w:sz w:val="21"/>
          <w:szCs w:val="21"/>
        </w:rPr>
      </w:pPr>
      <w:r>
        <w:rPr>
          <w:rStyle w:val="Strong"/>
          <w:rFonts w:ascii="inherit" w:hAnsi="inherit" w:cs="Open Sans"/>
          <w:color w:val="000000"/>
          <w:sz w:val="21"/>
          <w:szCs w:val="21"/>
          <w:bdr w:val="none" w:sz="0" w:space="0" w:color="auto" w:frame="1"/>
        </w:rPr>
        <w:t>References</w:t>
      </w:r>
    </w:p>
    <w:p w:rsidR="009910B5" w:rsidRDefault="009910B5" w:rsidP="009910B5">
      <w:pPr>
        <w:pStyle w:val="NormalWeb"/>
        <w:shd w:val="clear" w:color="auto" w:fill="FFFFFF"/>
        <w:spacing w:before="0" w:after="0"/>
        <w:ind w:left="720" w:hanging="720"/>
        <w:rPr>
          <w:rFonts w:ascii="Open Sans" w:hAnsi="Open Sans" w:cs="Open Sans"/>
          <w:color w:val="000000"/>
          <w:sz w:val="21"/>
          <w:szCs w:val="21"/>
        </w:rPr>
      </w:pPr>
      <w:r>
        <w:rPr>
          <w:rFonts w:ascii="Open Sans" w:hAnsi="Open Sans" w:cs="Open Sans"/>
          <w:color w:val="000000"/>
          <w:sz w:val="21"/>
          <w:szCs w:val="21"/>
        </w:rPr>
        <w:t xml:space="preserve">Buckwalter, K. C., Cullen, L., Hanrahan, K., </w:t>
      </w:r>
      <w:proofErr w:type="spellStart"/>
      <w:r>
        <w:rPr>
          <w:rFonts w:ascii="Open Sans" w:hAnsi="Open Sans" w:cs="Open Sans"/>
          <w:color w:val="000000"/>
          <w:sz w:val="21"/>
          <w:szCs w:val="21"/>
        </w:rPr>
        <w:t>Kleiber</w:t>
      </w:r>
      <w:proofErr w:type="spellEnd"/>
      <w:r>
        <w:rPr>
          <w:rFonts w:ascii="Open Sans" w:hAnsi="Open Sans" w:cs="Open Sans"/>
          <w:color w:val="000000"/>
          <w:sz w:val="21"/>
          <w:szCs w:val="21"/>
        </w:rPr>
        <w:t xml:space="preserve">, C., McCarthy, A. M., </w:t>
      </w:r>
      <w:proofErr w:type="spellStart"/>
      <w:r>
        <w:rPr>
          <w:rFonts w:ascii="Open Sans" w:hAnsi="Open Sans" w:cs="Open Sans"/>
          <w:color w:val="000000"/>
          <w:sz w:val="21"/>
          <w:szCs w:val="21"/>
        </w:rPr>
        <w:t>Rakel</w:t>
      </w:r>
      <w:proofErr w:type="spellEnd"/>
      <w:r>
        <w:rPr>
          <w:rFonts w:ascii="Open Sans" w:hAnsi="Open Sans" w:cs="Open Sans"/>
          <w:color w:val="000000"/>
          <w:sz w:val="21"/>
          <w:szCs w:val="21"/>
        </w:rPr>
        <w:t>, B., Steelman, V., Tripp-Reimer, T., Tucker, S., &amp; Iowa Model Collaborative. (2017). Iowa Model of Evidence-Based Practice: Revisions and validation. </w:t>
      </w:r>
      <w:r>
        <w:rPr>
          <w:rStyle w:val="Emphasis"/>
          <w:rFonts w:ascii="inherit" w:hAnsi="inherit" w:cs="Open Sans"/>
          <w:color w:val="000000"/>
          <w:sz w:val="21"/>
          <w:szCs w:val="21"/>
          <w:bdr w:val="none" w:sz="0" w:space="0" w:color="auto" w:frame="1"/>
        </w:rPr>
        <w:t>Worldviews on Evidence-Based Nursing, 14</w:t>
      </w:r>
      <w:r>
        <w:rPr>
          <w:rFonts w:ascii="Open Sans" w:hAnsi="Open Sans" w:cs="Open Sans"/>
          <w:color w:val="000000"/>
          <w:sz w:val="21"/>
          <w:szCs w:val="21"/>
        </w:rPr>
        <w:t>(3), 175-182. </w:t>
      </w:r>
      <w:hyperlink r:id="rId4" w:tgtFrame="_blank" w:history="1">
        <w:r>
          <w:rPr>
            <w:rStyle w:val="Hyperlink"/>
            <w:rFonts w:ascii="inherit" w:hAnsi="inherit" w:cs="Open Sans"/>
            <w:color w:val="1A65B0"/>
            <w:sz w:val="21"/>
            <w:szCs w:val="21"/>
            <w:bdr w:val="none" w:sz="0" w:space="0" w:color="auto" w:frame="1"/>
          </w:rPr>
          <w:t>https://doi.org/10.1111/wvn.12223</w:t>
        </w:r>
      </w:hyperlink>
    </w:p>
    <w:p w:rsidR="009910B5" w:rsidRDefault="009910B5" w:rsidP="009910B5">
      <w:pPr>
        <w:pStyle w:val="NormalWeb"/>
        <w:shd w:val="clear" w:color="auto" w:fill="FFFFFF"/>
        <w:spacing w:before="0" w:after="0"/>
        <w:ind w:left="720" w:hanging="720"/>
        <w:rPr>
          <w:rFonts w:ascii="Open Sans" w:hAnsi="Open Sans" w:cs="Open Sans"/>
          <w:color w:val="000000"/>
          <w:sz w:val="21"/>
          <w:szCs w:val="21"/>
        </w:rPr>
      </w:pPr>
      <w:r>
        <w:rPr>
          <w:rFonts w:ascii="Open Sans" w:hAnsi="Open Sans" w:cs="Open Sans"/>
          <w:color w:val="000000"/>
          <w:sz w:val="21"/>
          <w:szCs w:val="21"/>
        </w:rPr>
        <w:t>Lewin, K. (1951). </w:t>
      </w:r>
      <w:r>
        <w:rPr>
          <w:rStyle w:val="Emphasis"/>
          <w:rFonts w:ascii="inherit" w:hAnsi="inherit" w:cs="Open Sans"/>
          <w:color w:val="000000"/>
          <w:sz w:val="21"/>
          <w:szCs w:val="21"/>
          <w:bdr w:val="none" w:sz="0" w:space="0" w:color="auto" w:frame="1"/>
        </w:rPr>
        <w:t>Field theory in social science: Selected theoretical papers</w:t>
      </w:r>
      <w:r>
        <w:rPr>
          <w:rFonts w:ascii="Open Sans" w:hAnsi="Open Sans" w:cs="Open Sans"/>
          <w:color w:val="000000"/>
          <w:sz w:val="21"/>
          <w:szCs w:val="21"/>
        </w:rPr>
        <w:t>. Harper &amp; Row.</w:t>
      </w:r>
    </w:p>
    <w:p w:rsidR="009910B5" w:rsidRPr="009910B5" w:rsidRDefault="009910B5" w:rsidP="009910B5">
      <w:pPr>
        <w:shd w:val="clear" w:color="auto" w:fill="FFFFFF"/>
        <w:spacing w:before="100" w:beforeAutospacing="1" w:after="100" w:afterAutospacing="1" w:line="360" w:lineRule="atLeast"/>
        <w:rPr>
          <w:rFonts w:ascii="inherit" w:eastAsia="Times New Roman" w:hAnsi="inherit" w:cs="Open Sans"/>
          <w:b/>
          <w:bCs/>
          <w:color w:val="212121"/>
          <w:spacing w:val="2"/>
          <w:kern w:val="0"/>
          <w:sz w:val="21"/>
          <w:szCs w:val="21"/>
          <w14:ligatures w14:val="none"/>
        </w:rPr>
      </w:pPr>
      <w:r w:rsidRPr="009910B5">
        <w:rPr>
          <w:rFonts w:ascii="inherit" w:eastAsia="Times New Roman" w:hAnsi="inherit" w:cs="Open Sans"/>
          <w:b/>
          <w:bCs/>
          <w:color w:val="212121"/>
          <w:spacing w:val="2"/>
          <w:kern w:val="0"/>
          <w:sz w:val="21"/>
          <w:szCs w:val="21"/>
          <w14:ligatures w14:val="none"/>
        </w:rPr>
        <w:lastRenderedPageBreak/>
        <w:t>Paige’s Discussion</w:t>
      </w:r>
    </w:p>
    <w:p w:rsidR="009910B5" w:rsidRPr="009910B5" w:rsidRDefault="009910B5" w:rsidP="009910B5">
      <w:pPr>
        <w:shd w:val="clear" w:color="auto" w:fill="FFFFFF"/>
        <w:spacing w:before="100" w:beforeAutospacing="1" w:after="100" w:afterAutospacing="1" w:line="360" w:lineRule="atLeast"/>
        <w:rPr>
          <w:rFonts w:ascii="inherit" w:eastAsia="Times New Roman" w:hAnsi="inherit" w:cs="Open Sans"/>
          <w:color w:val="212121"/>
          <w:spacing w:val="2"/>
          <w:kern w:val="0"/>
          <w:sz w:val="21"/>
          <w:szCs w:val="21"/>
          <w14:ligatures w14:val="none"/>
        </w:rPr>
      </w:pPr>
      <w:r w:rsidRPr="009910B5">
        <w:rPr>
          <w:rFonts w:ascii="inherit" w:eastAsia="Times New Roman" w:hAnsi="inherit" w:cs="Open Sans"/>
          <w:color w:val="212121"/>
          <w:spacing w:val="2"/>
          <w:kern w:val="0"/>
          <w:sz w:val="21"/>
          <w:szCs w:val="21"/>
          <w14:ligatures w14:val="none"/>
        </w:rPr>
        <w:t>Lewin’s three</w:t>
      </w:r>
      <w:r w:rsidRPr="009910B5">
        <w:rPr>
          <w:rFonts w:ascii="inherit" w:eastAsia="Times New Roman" w:hAnsi="inherit" w:cs="Open Sans"/>
          <w:color w:val="212121"/>
          <w:spacing w:val="2"/>
          <w:kern w:val="0"/>
          <w:sz w:val="21"/>
          <w:szCs w:val="21"/>
          <w14:ligatures w14:val="none"/>
        </w:rPr>
        <w:noBreakHyphen/>
        <w:t>stage change theory (Unfreeze–Change–Refreeze) and the integrated</w:t>
      </w:r>
      <w:r w:rsidRPr="009910B5">
        <w:rPr>
          <w:rFonts w:ascii="inherit" w:eastAsia="Times New Roman" w:hAnsi="inherit" w:cs="Open Sans"/>
          <w:color w:val="212121"/>
          <w:spacing w:val="2"/>
          <w:kern w:val="0"/>
          <w:sz w:val="21"/>
          <w:szCs w:val="21"/>
          <w14:ligatures w14:val="none"/>
        </w:rPr>
        <w:noBreakHyphen/>
        <w:t>PARIHS (</w:t>
      </w:r>
      <w:proofErr w:type="spellStart"/>
      <w:r w:rsidRPr="009910B5">
        <w:rPr>
          <w:rFonts w:ascii="inherit" w:eastAsia="Times New Roman" w:hAnsi="inherit" w:cs="Open Sans"/>
          <w:color w:val="212121"/>
          <w:spacing w:val="2"/>
          <w:kern w:val="0"/>
          <w:sz w:val="21"/>
          <w:szCs w:val="21"/>
          <w14:ligatures w14:val="none"/>
        </w:rPr>
        <w:t>i</w:t>
      </w:r>
      <w:proofErr w:type="spellEnd"/>
      <w:r w:rsidRPr="009910B5">
        <w:rPr>
          <w:rFonts w:ascii="inherit" w:eastAsia="Times New Roman" w:hAnsi="inherit" w:cs="Open Sans"/>
          <w:color w:val="212121"/>
          <w:spacing w:val="2"/>
          <w:kern w:val="0"/>
          <w:sz w:val="21"/>
          <w:szCs w:val="21"/>
          <w14:ligatures w14:val="none"/>
        </w:rPr>
        <w:noBreakHyphen/>
        <w:t>PARIHS) framework offer contrasting but complementary approaches for implementing a co</w:t>
      </w:r>
      <w:r w:rsidRPr="009910B5">
        <w:rPr>
          <w:rFonts w:ascii="inherit" w:eastAsia="Times New Roman" w:hAnsi="inherit" w:cs="Open Sans"/>
          <w:color w:val="212121"/>
          <w:spacing w:val="2"/>
          <w:kern w:val="0"/>
          <w:sz w:val="21"/>
          <w:szCs w:val="21"/>
          <w14:ligatures w14:val="none"/>
        </w:rPr>
        <w:noBreakHyphen/>
        <w:t>designed, multi</w:t>
      </w:r>
      <w:r w:rsidRPr="009910B5">
        <w:rPr>
          <w:rFonts w:ascii="inherit" w:eastAsia="Times New Roman" w:hAnsi="inherit" w:cs="Open Sans"/>
          <w:color w:val="212121"/>
          <w:spacing w:val="2"/>
          <w:kern w:val="0"/>
          <w:sz w:val="21"/>
          <w:szCs w:val="21"/>
          <w14:ligatures w14:val="none"/>
        </w:rPr>
        <w:noBreakHyphen/>
        <w:t>component fall</w:t>
      </w:r>
      <w:r w:rsidRPr="009910B5">
        <w:rPr>
          <w:rFonts w:ascii="inherit" w:eastAsia="Times New Roman" w:hAnsi="inherit" w:cs="Open Sans"/>
          <w:color w:val="212121"/>
          <w:spacing w:val="2"/>
          <w:kern w:val="0"/>
          <w:sz w:val="21"/>
          <w:szCs w:val="21"/>
          <w14:ligatures w14:val="none"/>
        </w:rPr>
        <w:noBreakHyphen/>
        <w:t xml:space="preserve">prevention bundle in a skilled nursing transitional care unit: Lewin’s model is simple and communicable, useful for creating readiness, guiding a discrete implementation period, and stabilizing new routines, but it provides limited operational guidance for assessing complex contextual factors, interprofessional coordination, or ongoing facilitation; by contrast, </w:t>
      </w:r>
      <w:proofErr w:type="spellStart"/>
      <w:r w:rsidRPr="009910B5">
        <w:rPr>
          <w:rFonts w:ascii="inherit" w:eastAsia="Times New Roman" w:hAnsi="inherit" w:cs="Open Sans"/>
          <w:color w:val="212121"/>
          <w:spacing w:val="2"/>
          <w:kern w:val="0"/>
          <w:sz w:val="21"/>
          <w:szCs w:val="21"/>
          <w14:ligatures w14:val="none"/>
        </w:rPr>
        <w:t>i</w:t>
      </w:r>
      <w:proofErr w:type="spellEnd"/>
      <w:r w:rsidRPr="009910B5">
        <w:rPr>
          <w:rFonts w:ascii="inherit" w:eastAsia="Times New Roman" w:hAnsi="inherit" w:cs="Open Sans"/>
          <w:color w:val="212121"/>
          <w:spacing w:val="2"/>
          <w:kern w:val="0"/>
          <w:sz w:val="21"/>
          <w:szCs w:val="21"/>
          <w14:ligatures w14:val="none"/>
        </w:rPr>
        <w:noBreakHyphen/>
        <w:t>PARIHS explicitly foregrounds Evidence, Recipients, Context, and Facilitation, prescribing active facilitation to tailor interventions, negotiate barriers, and build capacity features that align closely with the bundle’s needs for teach</w:t>
      </w:r>
      <w:r w:rsidRPr="009910B5">
        <w:rPr>
          <w:rFonts w:ascii="inherit" w:eastAsia="Times New Roman" w:hAnsi="inherit" w:cs="Open Sans"/>
          <w:color w:val="212121"/>
          <w:spacing w:val="2"/>
          <w:kern w:val="0"/>
          <w:sz w:val="21"/>
          <w:szCs w:val="21"/>
          <w14:ligatures w14:val="none"/>
        </w:rPr>
        <w:noBreakHyphen/>
        <w:t xml:space="preserve">back education at admission/discharge, supervised exercise scheduling, pharmacist medication review, and environmental checks (Duan et al., 2022). For this intervention </w:t>
      </w:r>
      <w:proofErr w:type="spellStart"/>
      <w:r w:rsidRPr="009910B5">
        <w:rPr>
          <w:rFonts w:ascii="inherit" w:eastAsia="Times New Roman" w:hAnsi="inherit" w:cs="Open Sans"/>
          <w:color w:val="212121"/>
          <w:spacing w:val="2"/>
          <w:kern w:val="0"/>
          <w:sz w:val="21"/>
          <w:szCs w:val="21"/>
          <w14:ligatures w14:val="none"/>
        </w:rPr>
        <w:t>i</w:t>
      </w:r>
      <w:proofErr w:type="spellEnd"/>
      <w:r w:rsidRPr="009910B5">
        <w:rPr>
          <w:rFonts w:ascii="inherit" w:eastAsia="Times New Roman" w:hAnsi="inherit" w:cs="Open Sans"/>
          <w:color w:val="212121"/>
          <w:spacing w:val="2"/>
          <w:kern w:val="0"/>
          <w:sz w:val="21"/>
          <w:szCs w:val="21"/>
          <w14:ligatures w14:val="none"/>
        </w:rPr>
        <w:noBreakHyphen/>
        <w:t>PARIHS is the better fit because it operationalizes context assessment (leadership, staffing, EHR prompts), defines facilitation roles (internal/external facilitators and champions), and supports iterative adaptation to unit workflows while preserving fidelity to evidence components; these capacities are essential when multiple professions and resident/caregiver engagement are required. My preceptor agreed, recommending a named facilitator to coordinate pharmacist and therapy timing, protected teach</w:t>
      </w:r>
      <w:r w:rsidRPr="009910B5">
        <w:rPr>
          <w:rFonts w:ascii="inherit" w:eastAsia="Times New Roman" w:hAnsi="inherit" w:cs="Open Sans"/>
          <w:color w:val="212121"/>
          <w:spacing w:val="2"/>
          <w:kern w:val="0"/>
          <w:sz w:val="21"/>
          <w:szCs w:val="21"/>
          <w14:ligatures w14:val="none"/>
        </w:rPr>
        <w:noBreakHyphen/>
        <w:t>back time during admission/discharge, EHR prompts for hazard checks, and a single</w:t>
      </w:r>
      <w:r w:rsidRPr="009910B5">
        <w:rPr>
          <w:rFonts w:ascii="inherit" w:eastAsia="Times New Roman" w:hAnsi="inherit" w:cs="Open Sans"/>
          <w:color w:val="212121"/>
          <w:spacing w:val="2"/>
          <w:kern w:val="0"/>
          <w:sz w:val="21"/>
          <w:szCs w:val="21"/>
          <w14:ligatures w14:val="none"/>
        </w:rPr>
        <w:noBreakHyphen/>
        <w:t>unit pilot with process metrics (falls per 1,000 resident</w:t>
      </w:r>
      <w:r w:rsidRPr="009910B5">
        <w:rPr>
          <w:rFonts w:ascii="inherit" w:eastAsia="Times New Roman" w:hAnsi="inherit" w:cs="Open Sans"/>
          <w:color w:val="212121"/>
          <w:spacing w:val="2"/>
          <w:kern w:val="0"/>
          <w:sz w:val="21"/>
          <w:szCs w:val="21"/>
          <w14:ligatures w14:val="none"/>
        </w:rPr>
        <w:noBreakHyphen/>
        <w:t xml:space="preserve">days; knowledge scores) to refine workflows before scaling—practical suggestions that mirror </w:t>
      </w:r>
      <w:proofErr w:type="spellStart"/>
      <w:r w:rsidRPr="009910B5">
        <w:rPr>
          <w:rFonts w:ascii="inherit" w:eastAsia="Times New Roman" w:hAnsi="inherit" w:cs="Open Sans"/>
          <w:color w:val="212121"/>
          <w:spacing w:val="2"/>
          <w:kern w:val="0"/>
          <w:sz w:val="21"/>
          <w:szCs w:val="21"/>
          <w14:ligatures w14:val="none"/>
        </w:rPr>
        <w:t>i</w:t>
      </w:r>
      <w:proofErr w:type="spellEnd"/>
      <w:r w:rsidRPr="009910B5">
        <w:rPr>
          <w:rFonts w:ascii="inherit" w:eastAsia="Times New Roman" w:hAnsi="inherit" w:cs="Open Sans"/>
          <w:color w:val="212121"/>
          <w:spacing w:val="2"/>
          <w:kern w:val="0"/>
          <w:sz w:val="21"/>
          <w:szCs w:val="21"/>
          <w14:ligatures w14:val="none"/>
        </w:rPr>
        <w:noBreakHyphen/>
        <w:t>PARIHS’s emphasis on facilitation and context tailoring and increase the likelihood of sustained adoption (Harrison et al., 2021; Duan et al., 2022).</w:t>
      </w:r>
    </w:p>
    <w:p w:rsidR="009910B5" w:rsidRPr="009910B5" w:rsidRDefault="009910B5" w:rsidP="009910B5">
      <w:pPr>
        <w:shd w:val="clear" w:color="auto" w:fill="FFFFFF"/>
        <w:spacing w:before="100" w:beforeAutospacing="1" w:after="100" w:afterAutospacing="1" w:line="360" w:lineRule="atLeast"/>
        <w:rPr>
          <w:rFonts w:ascii="inherit" w:eastAsia="Times New Roman" w:hAnsi="inherit" w:cs="Open Sans"/>
          <w:b/>
          <w:bCs/>
          <w:color w:val="212121"/>
          <w:spacing w:val="2"/>
          <w:kern w:val="0"/>
          <w:sz w:val="21"/>
          <w:szCs w:val="21"/>
          <w14:ligatures w14:val="none"/>
        </w:rPr>
      </w:pPr>
      <w:r w:rsidRPr="009910B5">
        <w:rPr>
          <w:rFonts w:ascii="inherit" w:eastAsia="Times New Roman" w:hAnsi="inherit" w:cs="Open Sans"/>
          <w:b/>
          <w:bCs/>
          <w:color w:val="212121"/>
          <w:spacing w:val="2"/>
          <w:kern w:val="0"/>
          <w:sz w:val="21"/>
          <w:szCs w:val="21"/>
          <w14:ligatures w14:val="none"/>
        </w:rPr>
        <w:t>References</w:t>
      </w:r>
    </w:p>
    <w:p w:rsidR="009910B5" w:rsidRPr="009910B5" w:rsidRDefault="009910B5" w:rsidP="009910B5">
      <w:pPr>
        <w:shd w:val="clear" w:color="auto" w:fill="FFFFFF"/>
        <w:spacing w:beforeAutospacing="1" w:afterAutospacing="1" w:line="360" w:lineRule="atLeast"/>
        <w:rPr>
          <w:rFonts w:ascii="inherit" w:eastAsia="Times New Roman" w:hAnsi="inherit" w:cs="Open Sans"/>
          <w:color w:val="212121"/>
          <w:spacing w:val="2"/>
          <w:kern w:val="0"/>
          <w:sz w:val="21"/>
          <w:szCs w:val="21"/>
          <w14:ligatures w14:val="none"/>
        </w:rPr>
      </w:pPr>
      <w:r w:rsidRPr="009910B5">
        <w:rPr>
          <w:rFonts w:ascii="inherit" w:eastAsia="Times New Roman" w:hAnsi="inherit" w:cs="Open Sans"/>
          <w:color w:val="212121"/>
          <w:spacing w:val="2"/>
          <w:kern w:val="0"/>
          <w:sz w:val="21"/>
          <w:szCs w:val="21"/>
          <w14:ligatures w14:val="none"/>
        </w:rPr>
        <w:t xml:space="preserve">Duan, Y., </w:t>
      </w:r>
      <w:proofErr w:type="spellStart"/>
      <w:r w:rsidRPr="009910B5">
        <w:rPr>
          <w:rFonts w:ascii="inherit" w:eastAsia="Times New Roman" w:hAnsi="inherit" w:cs="Open Sans"/>
          <w:color w:val="212121"/>
          <w:spacing w:val="2"/>
          <w:kern w:val="0"/>
          <w:sz w:val="21"/>
          <w:szCs w:val="21"/>
          <w14:ligatures w14:val="none"/>
        </w:rPr>
        <w:t>Iaconi</w:t>
      </w:r>
      <w:proofErr w:type="spellEnd"/>
      <w:r w:rsidRPr="009910B5">
        <w:rPr>
          <w:rFonts w:ascii="inherit" w:eastAsia="Times New Roman" w:hAnsi="inherit" w:cs="Open Sans"/>
          <w:color w:val="212121"/>
          <w:spacing w:val="2"/>
          <w:kern w:val="0"/>
          <w:sz w:val="21"/>
          <w:szCs w:val="21"/>
          <w14:ligatures w14:val="none"/>
        </w:rPr>
        <w:t xml:space="preserve">, A., Wang, J., Perez, J. S., Song, Y., Chamberlain, S. A., … Berta, W. (2022). Conceptual and relational advances of the PARIHS and </w:t>
      </w:r>
      <w:proofErr w:type="spellStart"/>
      <w:r w:rsidRPr="009910B5">
        <w:rPr>
          <w:rFonts w:ascii="inherit" w:eastAsia="Times New Roman" w:hAnsi="inherit" w:cs="Open Sans"/>
          <w:color w:val="212121"/>
          <w:spacing w:val="2"/>
          <w:kern w:val="0"/>
          <w:sz w:val="21"/>
          <w:szCs w:val="21"/>
          <w14:ligatures w14:val="none"/>
        </w:rPr>
        <w:t>i</w:t>
      </w:r>
      <w:proofErr w:type="spellEnd"/>
      <w:r w:rsidRPr="009910B5">
        <w:rPr>
          <w:rFonts w:ascii="inherit" w:eastAsia="Times New Roman" w:hAnsi="inherit" w:cs="Open Sans"/>
          <w:color w:val="212121"/>
          <w:spacing w:val="2"/>
          <w:kern w:val="0"/>
          <w:sz w:val="21"/>
          <w:szCs w:val="21"/>
          <w14:ligatures w14:val="none"/>
        </w:rPr>
        <w:noBreakHyphen/>
        <w:t>PARIHS frameworks over the last decade: A critical interpretive synthesis. </w:t>
      </w:r>
      <w:r w:rsidRPr="009910B5">
        <w:rPr>
          <w:rFonts w:ascii="inherit" w:eastAsia="Times New Roman" w:hAnsi="inherit" w:cs="Open Sans"/>
          <w:i/>
          <w:iCs/>
          <w:color w:val="212121"/>
          <w:spacing w:val="2"/>
          <w:kern w:val="0"/>
          <w:sz w:val="21"/>
          <w:szCs w:val="21"/>
          <w:bdr w:val="none" w:sz="0" w:space="0" w:color="auto" w:frame="1"/>
          <w14:ligatures w14:val="none"/>
        </w:rPr>
        <w:t>Implementation Science, 17</w:t>
      </w:r>
      <w:r w:rsidRPr="009910B5">
        <w:rPr>
          <w:rFonts w:ascii="inherit" w:eastAsia="Times New Roman" w:hAnsi="inherit" w:cs="Open Sans"/>
          <w:color w:val="212121"/>
          <w:spacing w:val="2"/>
          <w:kern w:val="0"/>
          <w:sz w:val="21"/>
          <w:szCs w:val="21"/>
          <w14:ligatures w14:val="none"/>
        </w:rPr>
        <w:t>(78). </w:t>
      </w:r>
      <w:hyperlink r:id="rId5" w:tgtFrame="_blank" w:history="1">
        <w:r w:rsidRPr="009910B5">
          <w:rPr>
            <w:rFonts w:ascii="inherit" w:eastAsia="Times New Roman" w:hAnsi="inherit" w:cs="Open Sans"/>
            <w:color w:val="1A65B0"/>
            <w:spacing w:val="2"/>
            <w:kern w:val="0"/>
            <w:sz w:val="21"/>
            <w:szCs w:val="21"/>
            <w:u w:val="single"/>
            <w:bdr w:val="none" w:sz="0" w:space="0" w:color="auto" w:frame="1"/>
            <w14:ligatures w14:val="none"/>
          </w:rPr>
          <w:t>https://doi.org/10.1186/s13012-022-01254-z</w:t>
        </w:r>
      </w:hyperlink>
    </w:p>
    <w:p w:rsidR="009910B5" w:rsidRPr="009910B5" w:rsidRDefault="009910B5" w:rsidP="009910B5">
      <w:pPr>
        <w:shd w:val="clear" w:color="auto" w:fill="FFFFFF"/>
        <w:spacing w:beforeAutospacing="1" w:afterAutospacing="1" w:line="360" w:lineRule="atLeast"/>
        <w:rPr>
          <w:rFonts w:ascii="inherit" w:eastAsia="Times New Roman" w:hAnsi="inherit" w:cs="Open Sans"/>
          <w:color w:val="212121"/>
          <w:spacing w:val="2"/>
          <w:kern w:val="0"/>
          <w:sz w:val="21"/>
          <w:szCs w:val="21"/>
          <w14:ligatures w14:val="none"/>
        </w:rPr>
      </w:pPr>
      <w:r w:rsidRPr="009910B5">
        <w:rPr>
          <w:rFonts w:ascii="inherit" w:eastAsia="Times New Roman" w:hAnsi="inherit" w:cs="Open Sans"/>
          <w:color w:val="212121"/>
          <w:spacing w:val="2"/>
          <w:kern w:val="0"/>
          <w:sz w:val="21"/>
          <w:szCs w:val="21"/>
          <w14:ligatures w14:val="none"/>
        </w:rPr>
        <w:t xml:space="preserve">Harrison, R., Fischer, S., </w:t>
      </w:r>
      <w:proofErr w:type="spellStart"/>
      <w:r w:rsidRPr="009910B5">
        <w:rPr>
          <w:rFonts w:ascii="inherit" w:eastAsia="Times New Roman" w:hAnsi="inherit" w:cs="Open Sans"/>
          <w:color w:val="212121"/>
          <w:spacing w:val="2"/>
          <w:kern w:val="0"/>
          <w:sz w:val="21"/>
          <w:szCs w:val="21"/>
          <w14:ligatures w14:val="none"/>
        </w:rPr>
        <w:t>Walpola</w:t>
      </w:r>
      <w:proofErr w:type="spellEnd"/>
      <w:r w:rsidRPr="009910B5">
        <w:rPr>
          <w:rFonts w:ascii="inherit" w:eastAsia="Times New Roman" w:hAnsi="inherit" w:cs="Open Sans"/>
          <w:color w:val="212121"/>
          <w:spacing w:val="2"/>
          <w:kern w:val="0"/>
          <w:sz w:val="21"/>
          <w:szCs w:val="21"/>
          <w14:ligatures w14:val="none"/>
        </w:rPr>
        <w:t>, R. L., Chauhan, A., Babalola, T., Mears, S., &amp; Le</w:t>
      </w:r>
      <w:r w:rsidRPr="009910B5">
        <w:rPr>
          <w:rFonts w:ascii="inherit" w:eastAsia="Times New Roman" w:hAnsi="inherit" w:cs="Open Sans"/>
          <w:color w:val="212121"/>
          <w:spacing w:val="2"/>
          <w:kern w:val="0"/>
          <w:sz w:val="21"/>
          <w:szCs w:val="21"/>
          <w14:ligatures w14:val="none"/>
        </w:rPr>
        <w:noBreakHyphen/>
        <w:t>Dao, H. (2021). Where do models for change management, improvement and implementation meet? A systematic review of the applications of change management models in healthcare. </w:t>
      </w:r>
      <w:r w:rsidRPr="009910B5">
        <w:rPr>
          <w:rFonts w:ascii="inherit" w:eastAsia="Times New Roman" w:hAnsi="inherit" w:cs="Open Sans"/>
          <w:i/>
          <w:iCs/>
          <w:color w:val="212121"/>
          <w:spacing w:val="2"/>
          <w:kern w:val="0"/>
          <w:sz w:val="21"/>
          <w:szCs w:val="21"/>
          <w:bdr w:val="none" w:sz="0" w:space="0" w:color="auto" w:frame="1"/>
          <w14:ligatures w14:val="none"/>
        </w:rPr>
        <w:t>Journal of Healthcare Leadership, 13</w:t>
      </w:r>
      <w:r w:rsidRPr="009910B5">
        <w:rPr>
          <w:rFonts w:ascii="inherit" w:eastAsia="Times New Roman" w:hAnsi="inherit" w:cs="Open Sans"/>
          <w:color w:val="212121"/>
          <w:spacing w:val="2"/>
          <w:kern w:val="0"/>
          <w:sz w:val="21"/>
          <w:szCs w:val="21"/>
          <w14:ligatures w14:val="none"/>
        </w:rPr>
        <w:t>, 85–108. </w:t>
      </w:r>
      <w:hyperlink r:id="rId6" w:tgtFrame="_blank" w:history="1">
        <w:r w:rsidRPr="009910B5">
          <w:rPr>
            <w:rFonts w:ascii="inherit" w:eastAsia="Times New Roman" w:hAnsi="inherit" w:cs="Open Sans"/>
            <w:color w:val="1A65B0"/>
            <w:spacing w:val="2"/>
            <w:kern w:val="0"/>
            <w:sz w:val="21"/>
            <w:szCs w:val="21"/>
            <w:u w:val="single"/>
            <w:bdr w:val="none" w:sz="0" w:space="0" w:color="auto" w:frame="1"/>
            <w14:ligatures w14:val="none"/>
          </w:rPr>
          <w:t>https://www.dovepress.com/where-do-models-for-change-management-improvement-and-implementation-m-peer-reviewed-fulltext-article-JHL</w:t>
        </w:r>
      </w:hyperlink>
    </w:p>
    <w:p w:rsidR="009910B5" w:rsidRPr="009910B5" w:rsidRDefault="009910B5" w:rsidP="009910B5">
      <w:pPr>
        <w:rPr>
          <w:rFonts w:ascii="Times New Roman" w:eastAsia="Times New Roman" w:hAnsi="Times New Roman" w:cs="Times New Roman"/>
          <w:kern w:val="0"/>
          <w14:ligatures w14:val="none"/>
        </w:rPr>
      </w:pPr>
    </w:p>
    <w:p w:rsidR="00B72657" w:rsidRDefault="00B72657" w:rsidP="009910B5">
      <w:pPr>
        <w:spacing w:line="276" w:lineRule="auto"/>
        <w:ind w:left="720" w:hanging="720"/>
      </w:pPr>
    </w:p>
    <w:sectPr w:rsidR="00B72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inherit">
    <w:altName w:val="Cambria"/>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D91"/>
    <w:rsid w:val="006451FF"/>
    <w:rsid w:val="00743D91"/>
    <w:rsid w:val="009910B5"/>
    <w:rsid w:val="00B72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DBDB63"/>
  <w15:chartTrackingRefBased/>
  <w15:docId w15:val="{E8A67CFD-3B57-7D44-808A-FD53201D0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3D91"/>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910B5"/>
    <w:rPr>
      <w:b/>
      <w:bCs/>
    </w:rPr>
  </w:style>
  <w:style w:type="character" w:styleId="Emphasis">
    <w:name w:val="Emphasis"/>
    <w:basedOn w:val="DefaultParagraphFont"/>
    <w:uiPriority w:val="20"/>
    <w:qFormat/>
    <w:rsid w:val="009910B5"/>
    <w:rPr>
      <w:i/>
      <w:iCs/>
    </w:rPr>
  </w:style>
  <w:style w:type="character" w:styleId="Hyperlink">
    <w:name w:val="Hyperlink"/>
    <w:basedOn w:val="DefaultParagraphFont"/>
    <w:uiPriority w:val="99"/>
    <w:semiHidden/>
    <w:unhideWhenUsed/>
    <w:rsid w:val="009910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037061">
      <w:bodyDiv w:val="1"/>
      <w:marLeft w:val="0"/>
      <w:marRight w:val="0"/>
      <w:marTop w:val="0"/>
      <w:marBottom w:val="0"/>
      <w:divBdr>
        <w:top w:val="none" w:sz="0" w:space="0" w:color="auto"/>
        <w:left w:val="none" w:sz="0" w:space="0" w:color="auto"/>
        <w:bottom w:val="none" w:sz="0" w:space="0" w:color="auto"/>
        <w:right w:val="none" w:sz="0" w:space="0" w:color="auto"/>
      </w:divBdr>
      <w:divsChild>
        <w:div w:id="1851336738">
          <w:marLeft w:val="0"/>
          <w:marRight w:val="0"/>
          <w:marTop w:val="0"/>
          <w:marBottom w:val="0"/>
          <w:divBdr>
            <w:top w:val="none" w:sz="0" w:space="0" w:color="auto"/>
            <w:left w:val="none" w:sz="0" w:space="0" w:color="auto"/>
            <w:bottom w:val="none" w:sz="0" w:space="0" w:color="auto"/>
            <w:right w:val="none" w:sz="0" w:space="0" w:color="auto"/>
          </w:divBdr>
          <w:divsChild>
            <w:div w:id="17294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73313">
      <w:bodyDiv w:val="1"/>
      <w:marLeft w:val="0"/>
      <w:marRight w:val="0"/>
      <w:marTop w:val="0"/>
      <w:marBottom w:val="0"/>
      <w:divBdr>
        <w:top w:val="none" w:sz="0" w:space="0" w:color="auto"/>
        <w:left w:val="none" w:sz="0" w:space="0" w:color="auto"/>
        <w:bottom w:val="none" w:sz="0" w:space="0" w:color="auto"/>
        <w:right w:val="none" w:sz="0" w:space="0" w:color="auto"/>
      </w:divBdr>
    </w:div>
    <w:div w:id="177563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ovepress.com/where-do-models-for-change-management-improvement-and-implementation-m-peer-reviewed-fulltext-article-JHL" TargetMode="External"/><Relationship Id="rId5" Type="http://schemas.openxmlformats.org/officeDocument/2006/relationships/hyperlink" Target="https://link.springer.com/article/10.1186/s13012-022-01254-z" TargetMode="External"/><Relationship Id="rId4" Type="http://schemas.openxmlformats.org/officeDocument/2006/relationships/hyperlink" Target="https://doi.org/10.1111/wvn.122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891</Words>
  <Characters>5080</Characters>
  <Application>Microsoft Office Word</Application>
  <DocSecurity>0</DocSecurity>
  <Lines>42</Lines>
  <Paragraphs>11</Paragraphs>
  <ScaleCrop>false</ScaleCrop>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2026-07-08T10:31:00Z</dcterms:created>
  <dcterms:modified xsi:type="dcterms:W3CDTF">2026-07-08T10:31:00Z</dcterms:modified>
</cp:coreProperties>
</file>