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2A7" w:rsidRDefault="004052A7" w:rsidP="004052A7">
      <w:pPr>
        <w:shd w:val="clear" w:color="auto" w:fill="FFFFFF"/>
        <w:spacing w:before="100" w:beforeAutospacing="1" w:after="100" w:afterAutospacing="1" w:line="360" w:lineRule="atLeast"/>
        <w:rPr>
          <w:rFonts w:ascii="Open Sans" w:eastAsia="Times New Roman" w:hAnsi="Open Sans" w:cs="Open Sans"/>
          <w:b/>
          <w:bCs/>
          <w:color w:val="212121"/>
          <w:spacing w:val="2"/>
          <w:kern w:val="0"/>
          <w:sz w:val="20"/>
          <w:szCs w:val="20"/>
          <w14:ligatures w14:val="none"/>
        </w:rPr>
      </w:pPr>
      <w:r w:rsidRPr="004052A7">
        <w:rPr>
          <w:rFonts w:ascii="Open Sans" w:eastAsia="Times New Roman" w:hAnsi="Open Sans" w:cs="Open Sans"/>
          <w:b/>
          <w:bCs/>
          <w:color w:val="212121"/>
          <w:spacing w:val="2"/>
          <w:kern w:val="0"/>
          <w:sz w:val="20"/>
          <w:szCs w:val="20"/>
          <w14:ligatures w14:val="none"/>
        </w:rPr>
        <w:t>Topic 5 DQ 1</w:t>
      </w:r>
      <w:r w:rsidR="001F1BC2">
        <w:rPr>
          <w:rFonts w:ascii="Open Sans" w:eastAsia="Times New Roman" w:hAnsi="Open Sans" w:cs="Open Sans"/>
          <w:b/>
          <w:bCs/>
          <w:color w:val="212121"/>
          <w:spacing w:val="2"/>
          <w:kern w:val="0"/>
          <w:sz w:val="20"/>
          <w:szCs w:val="20"/>
          <w14:ligatures w14:val="none"/>
        </w:rPr>
        <w:t xml:space="preserve"> Responses </w:t>
      </w:r>
    </w:p>
    <w:p w:rsidR="001F1BC2" w:rsidRPr="004052A7" w:rsidRDefault="001F1BC2" w:rsidP="004052A7">
      <w:pPr>
        <w:shd w:val="clear" w:color="auto" w:fill="FFFFFF"/>
        <w:spacing w:before="100" w:beforeAutospacing="1" w:after="100" w:afterAutospacing="1" w:line="360" w:lineRule="atLeast"/>
        <w:rPr>
          <w:rFonts w:ascii="Open Sans" w:eastAsia="Times New Roman" w:hAnsi="Open Sans" w:cs="Open Sans"/>
          <w:b/>
          <w:bCs/>
          <w:color w:val="212121"/>
          <w:spacing w:val="2"/>
          <w:kern w:val="0"/>
          <w:sz w:val="20"/>
          <w:szCs w:val="20"/>
          <w14:ligatures w14:val="none"/>
        </w:rPr>
      </w:pPr>
      <w:r>
        <w:rPr>
          <w:rFonts w:ascii="Open Sans" w:eastAsia="Times New Roman" w:hAnsi="Open Sans" w:cs="Open Sans"/>
          <w:b/>
          <w:bCs/>
          <w:color w:val="212121"/>
          <w:spacing w:val="2"/>
          <w:kern w:val="0"/>
          <w:sz w:val="20"/>
          <w:szCs w:val="20"/>
          <w14:ligatures w14:val="none"/>
        </w:rPr>
        <w:t>Jeanne’s Discussion</w:t>
      </w:r>
    </w:p>
    <w:p w:rsidR="001F1BC2" w:rsidRPr="001F1BC2" w:rsidRDefault="001F1BC2" w:rsidP="001F1BC2">
      <w:pPr>
        <w:pStyle w:val="NormalWeb"/>
        <w:shd w:val="clear" w:color="auto" w:fill="FFFFFF"/>
        <w:spacing w:before="0" w:after="0" w:line="276" w:lineRule="auto"/>
        <w:rPr>
          <w:rFonts w:ascii="Open Sans" w:hAnsi="Open Sans" w:cs="Open Sans"/>
          <w:color w:val="212121"/>
          <w:spacing w:val="2"/>
        </w:rPr>
      </w:pPr>
      <w:r w:rsidRPr="001F1BC2">
        <w:rPr>
          <w:rStyle w:val="Strong"/>
          <w:rFonts w:ascii="inherit" w:hAnsi="inherit" w:cs="Open Sans"/>
          <w:color w:val="212121"/>
          <w:spacing w:val="2"/>
          <w:bdr w:val="none" w:sz="0" w:space="0" w:color="auto" w:frame="1"/>
        </w:rPr>
        <w:t>Stakeholder support is essential for the successful implementation of any evidence-based practice (EBP) project.</w:t>
      </w:r>
      <w:r w:rsidRPr="001F1BC2">
        <w:rPr>
          <w:color w:val="212121"/>
          <w:spacing w:val="2"/>
          <w:bdr w:val="none" w:sz="0" w:space="0" w:color="auto" w:frame="1"/>
        </w:rPr>
        <w:t> Internal stakeholders are directly involved in the healthcare organization, while external stakeholders contribute resources or services outside the organization that influence patient outcomes. For my capstone project, which focuses on implementing nurse-led telemedicine education for Medicare patients enrolled in a GLP-1 weight management program, collaboration among multiple stakeholders is necessary to improve medication understanding and follow-up adherence.</w:t>
      </w:r>
    </w:p>
    <w:p w:rsidR="001F1BC2" w:rsidRPr="001F1BC2" w:rsidRDefault="001F1BC2" w:rsidP="001F1BC2">
      <w:pPr>
        <w:pStyle w:val="NormalWeb"/>
        <w:shd w:val="clear" w:color="auto" w:fill="FFFFFF"/>
        <w:spacing w:before="0" w:beforeAutospacing="0" w:after="0" w:afterAutospacing="0" w:line="276" w:lineRule="auto"/>
        <w:rPr>
          <w:color w:val="212121"/>
          <w:spacing w:val="2"/>
        </w:rPr>
      </w:pPr>
      <w:r w:rsidRPr="001F1BC2">
        <w:rPr>
          <w:color w:val="212121"/>
          <w:spacing w:val="2"/>
          <w:bdr w:val="none" w:sz="0" w:space="0" w:color="auto" w:frame="1"/>
        </w:rPr>
        <w:t>Two important </w:t>
      </w:r>
      <w:r w:rsidRPr="001F1BC2">
        <w:rPr>
          <w:rStyle w:val="Strong"/>
          <w:rFonts w:ascii="inherit" w:hAnsi="inherit"/>
          <w:color w:val="212121"/>
          <w:spacing w:val="2"/>
          <w:bdr w:val="none" w:sz="0" w:space="0" w:color="auto" w:frame="1"/>
        </w:rPr>
        <w:t>internal stakeholders</w:t>
      </w:r>
      <w:r w:rsidRPr="001F1BC2">
        <w:rPr>
          <w:color w:val="212121"/>
          <w:spacing w:val="2"/>
          <w:bdr w:val="none" w:sz="0" w:space="0" w:color="auto" w:frame="1"/>
        </w:rPr>
        <w:t> are the </w:t>
      </w:r>
      <w:r w:rsidRPr="001F1BC2">
        <w:rPr>
          <w:rStyle w:val="Strong"/>
          <w:rFonts w:ascii="inherit" w:hAnsi="inherit"/>
          <w:color w:val="212121"/>
          <w:spacing w:val="2"/>
          <w:bdr w:val="none" w:sz="0" w:space="0" w:color="auto" w:frame="1"/>
        </w:rPr>
        <w:t>primary care providers</w:t>
      </w:r>
      <w:r w:rsidRPr="001F1BC2">
        <w:rPr>
          <w:color w:val="212121"/>
          <w:spacing w:val="2"/>
          <w:bdr w:val="none" w:sz="0" w:space="0" w:color="auto" w:frame="1"/>
        </w:rPr>
        <w:t> and </w:t>
      </w:r>
      <w:r w:rsidRPr="001F1BC2">
        <w:rPr>
          <w:rStyle w:val="Strong"/>
          <w:rFonts w:ascii="inherit" w:hAnsi="inherit"/>
          <w:color w:val="212121"/>
          <w:spacing w:val="2"/>
          <w:bdr w:val="none" w:sz="0" w:space="0" w:color="auto" w:frame="1"/>
        </w:rPr>
        <w:t>registered nurses</w:t>
      </w:r>
      <w:r w:rsidRPr="001F1BC2">
        <w:rPr>
          <w:color w:val="212121"/>
          <w:spacing w:val="2"/>
          <w:bdr w:val="none" w:sz="0" w:space="0" w:color="auto" w:frame="1"/>
        </w:rPr>
        <w:t> working within the family medicine clinic. Providers play a key role by identifying appropriate patients for GLP-1 therapy, prescribing medications, and collaborating with nurses to reinforce treatment plans. Registered nurses are essential because they provide telemedicine education, assess patient understanding, monitor for side effects, reinforce lifestyle modifications, and encourage adherence to follow-up appointments. Their participation is critical for ensuring consistent, evidence-based patient education.</w:t>
      </w:r>
    </w:p>
    <w:p w:rsidR="001F1BC2" w:rsidRPr="001F1BC2" w:rsidRDefault="001F1BC2" w:rsidP="001F1BC2">
      <w:pPr>
        <w:pStyle w:val="NormalWeb"/>
        <w:shd w:val="clear" w:color="auto" w:fill="FFFFFF"/>
        <w:spacing w:before="0" w:beforeAutospacing="0" w:after="0" w:afterAutospacing="0" w:line="276" w:lineRule="auto"/>
        <w:rPr>
          <w:color w:val="212121"/>
          <w:spacing w:val="2"/>
        </w:rPr>
      </w:pPr>
      <w:r w:rsidRPr="001F1BC2">
        <w:rPr>
          <w:color w:val="212121"/>
          <w:spacing w:val="2"/>
          <w:bdr w:val="none" w:sz="0" w:space="0" w:color="auto" w:frame="1"/>
        </w:rPr>
        <w:t>Two important </w:t>
      </w:r>
      <w:r w:rsidRPr="001F1BC2">
        <w:rPr>
          <w:rStyle w:val="Strong"/>
          <w:rFonts w:ascii="inherit" w:hAnsi="inherit"/>
          <w:color w:val="212121"/>
          <w:spacing w:val="2"/>
          <w:bdr w:val="none" w:sz="0" w:space="0" w:color="auto" w:frame="1"/>
        </w:rPr>
        <w:t>external stakeholders</w:t>
      </w:r>
      <w:r w:rsidRPr="001F1BC2">
        <w:rPr>
          <w:color w:val="212121"/>
          <w:spacing w:val="2"/>
          <w:bdr w:val="none" w:sz="0" w:space="0" w:color="auto" w:frame="1"/>
        </w:rPr>
        <w:t> are </w:t>
      </w:r>
      <w:r w:rsidRPr="001F1BC2">
        <w:rPr>
          <w:rStyle w:val="Strong"/>
          <w:rFonts w:ascii="inherit" w:hAnsi="inherit"/>
          <w:color w:val="212121"/>
          <w:spacing w:val="2"/>
          <w:bdr w:val="none" w:sz="0" w:space="0" w:color="auto" w:frame="1"/>
        </w:rPr>
        <w:t>Medicare insurance representatives</w:t>
      </w:r>
      <w:r w:rsidRPr="001F1BC2">
        <w:rPr>
          <w:color w:val="212121"/>
          <w:spacing w:val="2"/>
          <w:bdr w:val="none" w:sz="0" w:space="0" w:color="auto" w:frame="1"/>
        </w:rPr>
        <w:t> and </w:t>
      </w:r>
      <w:r w:rsidRPr="001F1BC2">
        <w:rPr>
          <w:rStyle w:val="Strong"/>
          <w:rFonts w:ascii="inherit" w:hAnsi="inherit"/>
          <w:color w:val="212121"/>
          <w:spacing w:val="2"/>
          <w:bdr w:val="none" w:sz="0" w:space="0" w:color="auto" w:frame="1"/>
        </w:rPr>
        <w:t>community pharmacies</w:t>
      </w:r>
      <w:r w:rsidRPr="001F1BC2">
        <w:rPr>
          <w:color w:val="212121"/>
          <w:spacing w:val="2"/>
          <w:bdr w:val="none" w:sz="0" w:space="0" w:color="auto" w:frame="1"/>
        </w:rPr>
        <w:t>. Medicare representatives influence patient access to GLP-1 medications through coverage policies and prior authorization requirements. Community pharmacists reinforce medication education, monitor for medication-related concerns, and collaborate with healthcare providers to improve adherence and patient safety. Working together with these external stakeholders helps ensure patients receive timely access to medications and continued support after clinic visits.</w:t>
      </w:r>
    </w:p>
    <w:p w:rsidR="001F1BC2" w:rsidRPr="001F1BC2" w:rsidRDefault="001F1BC2" w:rsidP="001F1BC2">
      <w:pPr>
        <w:pStyle w:val="NormalWeb"/>
        <w:shd w:val="clear" w:color="auto" w:fill="FFFFFF"/>
        <w:spacing w:before="0" w:beforeAutospacing="0" w:after="0" w:afterAutospacing="0" w:line="276" w:lineRule="auto"/>
        <w:rPr>
          <w:color w:val="212121"/>
          <w:spacing w:val="2"/>
        </w:rPr>
      </w:pPr>
      <w:r w:rsidRPr="001F1BC2">
        <w:rPr>
          <w:color w:val="212121"/>
          <w:spacing w:val="2"/>
          <w:bdr w:val="none" w:sz="0" w:space="0" w:color="auto" w:frame="1"/>
        </w:rPr>
        <w:t>One of my greatest strengths as a nurse is my ability to build trusting relationships through communication and active listening. I strive to treat every patient and healthcare professional with respect while encouraging collaboration and open communication. This strength helps me develop effective interprofessional relationships, gain stakeholder support, and promote teamwork during evidence-based practice implementation. Strong communication and mutual respect are essential for successfully implementing practice changes that improve patient outcomes.</w:t>
      </w:r>
    </w:p>
    <w:p w:rsidR="001F1BC2" w:rsidRPr="001F1BC2" w:rsidRDefault="001F1BC2" w:rsidP="001F1BC2">
      <w:pPr>
        <w:pStyle w:val="NormalWeb"/>
        <w:shd w:val="clear" w:color="auto" w:fill="FFFFFF"/>
        <w:spacing w:before="0" w:beforeAutospacing="0" w:after="0" w:afterAutospacing="0" w:line="276" w:lineRule="auto"/>
        <w:rPr>
          <w:color w:val="212121"/>
          <w:spacing w:val="2"/>
        </w:rPr>
      </w:pPr>
      <w:r w:rsidRPr="001F1BC2">
        <w:rPr>
          <w:rStyle w:val="Strong"/>
          <w:rFonts w:ascii="inherit" w:hAnsi="inherit"/>
          <w:color w:val="212121"/>
          <w:spacing w:val="2"/>
          <w:bdr w:val="none" w:sz="0" w:space="0" w:color="auto" w:frame="1"/>
        </w:rPr>
        <w:t>References</w:t>
      </w:r>
    </w:p>
    <w:p w:rsidR="001F1BC2" w:rsidRPr="001F1BC2" w:rsidRDefault="001F1BC2" w:rsidP="001F1BC2">
      <w:pPr>
        <w:pStyle w:val="NormalWeb"/>
        <w:shd w:val="clear" w:color="auto" w:fill="FFFFFF"/>
        <w:spacing w:before="0" w:beforeAutospacing="0" w:after="0" w:afterAutospacing="0" w:line="276" w:lineRule="auto"/>
        <w:rPr>
          <w:color w:val="212121"/>
          <w:spacing w:val="2"/>
        </w:rPr>
      </w:pPr>
      <w:r w:rsidRPr="001F1BC2">
        <w:rPr>
          <w:color w:val="212121"/>
          <w:spacing w:val="2"/>
          <w:bdr w:val="none" w:sz="0" w:space="0" w:color="auto" w:frame="1"/>
        </w:rPr>
        <w:t>Melnyk, B. M., &amp; Fineout-Overholt, E. (2023). </w:t>
      </w:r>
      <w:r w:rsidRPr="001F1BC2">
        <w:rPr>
          <w:rStyle w:val="Emphasis"/>
          <w:rFonts w:ascii="inherit" w:hAnsi="inherit"/>
          <w:color w:val="212121"/>
          <w:spacing w:val="2"/>
          <w:bdr w:val="none" w:sz="0" w:space="0" w:color="auto" w:frame="1"/>
        </w:rPr>
        <w:t>Evidence-based practice in nursing &amp; healthcare: A guide to best practice</w:t>
      </w:r>
      <w:r w:rsidRPr="001F1BC2">
        <w:rPr>
          <w:color w:val="212121"/>
          <w:spacing w:val="2"/>
          <w:bdr w:val="none" w:sz="0" w:space="0" w:color="auto" w:frame="1"/>
        </w:rPr>
        <w:t> (5th ed.). Wolters Kluwer.</w:t>
      </w:r>
    </w:p>
    <w:p w:rsidR="001F1BC2" w:rsidRPr="001F1BC2" w:rsidRDefault="001F1BC2" w:rsidP="001F1BC2">
      <w:pPr>
        <w:pStyle w:val="NormalWeb"/>
        <w:shd w:val="clear" w:color="auto" w:fill="FFFFFF"/>
        <w:spacing w:before="0" w:beforeAutospacing="0" w:after="0" w:afterAutospacing="0" w:line="276" w:lineRule="auto"/>
        <w:rPr>
          <w:color w:val="212121"/>
          <w:spacing w:val="2"/>
        </w:rPr>
      </w:pPr>
      <w:r w:rsidRPr="001F1BC2">
        <w:rPr>
          <w:color w:val="212121"/>
          <w:spacing w:val="2"/>
          <w:bdr w:val="none" w:sz="0" w:space="0" w:color="auto" w:frame="1"/>
        </w:rPr>
        <w:t xml:space="preserve">White, K. M., Dudley-Brown, S., &amp; </w:t>
      </w:r>
      <w:proofErr w:type="spellStart"/>
      <w:r w:rsidRPr="001F1BC2">
        <w:rPr>
          <w:color w:val="212121"/>
          <w:spacing w:val="2"/>
          <w:bdr w:val="none" w:sz="0" w:space="0" w:color="auto" w:frame="1"/>
        </w:rPr>
        <w:t>Terhaar</w:t>
      </w:r>
      <w:proofErr w:type="spellEnd"/>
      <w:r w:rsidRPr="001F1BC2">
        <w:rPr>
          <w:color w:val="212121"/>
          <w:spacing w:val="2"/>
          <w:bdr w:val="none" w:sz="0" w:space="0" w:color="auto" w:frame="1"/>
        </w:rPr>
        <w:t>, M. F. (2022). </w:t>
      </w:r>
      <w:r w:rsidRPr="001F1BC2">
        <w:rPr>
          <w:rStyle w:val="Emphasis"/>
          <w:rFonts w:ascii="inherit" w:hAnsi="inherit"/>
          <w:color w:val="212121"/>
          <w:spacing w:val="2"/>
          <w:bdr w:val="none" w:sz="0" w:space="0" w:color="auto" w:frame="1"/>
        </w:rPr>
        <w:t>Translation of evidence into nursing and health care</w:t>
      </w:r>
      <w:r w:rsidRPr="001F1BC2">
        <w:rPr>
          <w:color w:val="212121"/>
          <w:spacing w:val="2"/>
          <w:bdr w:val="none" w:sz="0" w:space="0" w:color="auto" w:frame="1"/>
        </w:rPr>
        <w:t> (3rd ed.). Springer Publishing.</w:t>
      </w:r>
    </w:p>
    <w:p w:rsidR="00B72657" w:rsidRDefault="00B72657" w:rsidP="001F1BC2">
      <w:pPr>
        <w:spacing w:line="276" w:lineRule="auto"/>
      </w:pPr>
    </w:p>
    <w:p w:rsidR="001F1BC2" w:rsidRDefault="001F1BC2" w:rsidP="001F1BC2">
      <w:pPr>
        <w:spacing w:line="276" w:lineRule="auto"/>
      </w:pPr>
    </w:p>
    <w:p w:rsidR="001F1BC2" w:rsidRDefault="001F1BC2" w:rsidP="001F1BC2">
      <w:pPr>
        <w:spacing w:line="276" w:lineRule="auto"/>
        <w:rPr>
          <w:b/>
          <w:bCs/>
        </w:rPr>
      </w:pPr>
      <w:r w:rsidRPr="001F1BC2">
        <w:rPr>
          <w:b/>
          <w:bCs/>
        </w:rPr>
        <w:lastRenderedPageBreak/>
        <w:t>Chiara’s D</w:t>
      </w:r>
      <w:r>
        <w:rPr>
          <w:b/>
          <w:bCs/>
        </w:rPr>
        <w:t>i</w:t>
      </w:r>
      <w:r w:rsidRPr="001F1BC2">
        <w:rPr>
          <w:b/>
          <w:bCs/>
        </w:rPr>
        <w:t>scussion</w:t>
      </w:r>
    </w:p>
    <w:p w:rsidR="001F1BC2" w:rsidRPr="001F1BC2" w:rsidRDefault="001F1BC2" w:rsidP="001F1BC2">
      <w:pPr>
        <w:shd w:val="clear" w:color="auto" w:fill="FFFFFF"/>
        <w:spacing w:before="100" w:beforeAutospacing="1" w:after="100" w:afterAutospacing="1" w:line="276" w:lineRule="auto"/>
        <w:rPr>
          <w:rFonts w:ascii="inherit" w:eastAsia="Times New Roman" w:hAnsi="inherit" w:cs="Open Sans"/>
          <w:color w:val="212121"/>
          <w:spacing w:val="2"/>
          <w:kern w:val="0"/>
          <w:sz w:val="21"/>
          <w:szCs w:val="21"/>
          <w14:ligatures w14:val="none"/>
        </w:rPr>
      </w:pPr>
      <w:r w:rsidRPr="001F1BC2">
        <w:rPr>
          <w:rFonts w:ascii="inherit" w:eastAsia="Times New Roman" w:hAnsi="inherit" w:cs="Open Sans"/>
          <w:color w:val="212121"/>
          <w:spacing w:val="2"/>
          <w:kern w:val="0"/>
          <w:sz w:val="21"/>
          <w:szCs w:val="21"/>
          <w14:ligatures w14:val="none"/>
        </w:rPr>
        <w:t>My proposed capstone project focuses on implementing a standardized SBAR handoff communication tool for nurses transferring adult patients from the Emergency Department to inpatient nursing units. Successful implementation requires support from both internal and external stakeholders because effective communication during patient handoffs directly affects patient safety, continuity of care, and nursing workflow.</w:t>
      </w:r>
    </w:p>
    <w:p w:rsidR="001F1BC2" w:rsidRPr="001F1BC2" w:rsidRDefault="001F1BC2" w:rsidP="001F1BC2">
      <w:pPr>
        <w:shd w:val="clear" w:color="auto" w:fill="FFFFFF"/>
        <w:spacing w:before="100" w:beforeAutospacing="1" w:after="100" w:afterAutospacing="1" w:line="276" w:lineRule="auto"/>
        <w:rPr>
          <w:rFonts w:ascii="inherit" w:eastAsia="Times New Roman" w:hAnsi="inherit" w:cs="Open Sans"/>
          <w:color w:val="000000"/>
          <w:kern w:val="0"/>
          <w:sz w:val="21"/>
          <w:szCs w:val="21"/>
          <w14:ligatures w14:val="none"/>
        </w:rPr>
      </w:pPr>
      <w:r w:rsidRPr="001F1BC2">
        <w:rPr>
          <w:rFonts w:ascii="inherit" w:eastAsia="Times New Roman" w:hAnsi="inherit" w:cs="Open Sans"/>
          <w:color w:val="000000"/>
          <w:kern w:val="0"/>
          <w:sz w:val="21"/>
          <w:szCs w:val="21"/>
          <w14:ligatures w14:val="none"/>
        </w:rPr>
        <w:t>Two important internal stakeholders are emergency department nurse leadership and bedside nurses from both the Emergency Department and inpatient units. Nurse leaders are responsible for approving practice changes, coordinating staff education, and monitoring compliance with the new handoff process. Their support is essential for providing the resources and oversight needed for successful implementation. Bedside nurses are the primary users of the SBAR tool. Their participation and consistent use of the standardized handoff process will determine whether communication improves and handoff errors decrease.</w:t>
      </w:r>
    </w:p>
    <w:p w:rsidR="001F1BC2" w:rsidRPr="001F1BC2" w:rsidRDefault="001F1BC2" w:rsidP="001F1BC2">
      <w:pPr>
        <w:shd w:val="clear" w:color="auto" w:fill="FFFFFF"/>
        <w:spacing w:before="100" w:beforeAutospacing="1" w:after="100" w:afterAutospacing="1" w:line="276" w:lineRule="auto"/>
        <w:rPr>
          <w:rFonts w:ascii="inherit" w:eastAsia="Times New Roman" w:hAnsi="inherit" w:cs="Open Sans"/>
          <w:color w:val="000000"/>
          <w:kern w:val="0"/>
          <w:sz w:val="21"/>
          <w:szCs w:val="21"/>
          <w14:ligatures w14:val="none"/>
        </w:rPr>
      </w:pPr>
      <w:r w:rsidRPr="001F1BC2">
        <w:rPr>
          <w:rFonts w:ascii="inherit" w:eastAsia="Times New Roman" w:hAnsi="inherit" w:cs="Open Sans"/>
          <w:color w:val="000000"/>
          <w:kern w:val="0"/>
          <w:sz w:val="21"/>
          <w:szCs w:val="21"/>
          <w14:ligatures w14:val="none"/>
        </w:rPr>
        <w:t>Two key external stakeholders are the hospital's electronic health record (EHR) vendor or information technology team and The Joint Commission. The IT team is important because integrating or supporting an electronic SBAR template can improve consistency and ease of use. The Joint Commission emphasizes standardized communication as a National Patient Safety Goal, making its recommendations an important evidence</w:t>
      </w:r>
      <w:r>
        <w:rPr>
          <w:rFonts w:ascii="inherit" w:eastAsia="Times New Roman" w:hAnsi="inherit" w:cs="Open Sans"/>
          <w:color w:val="000000"/>
          <w:kern w:val="0"/>
          <w:sz w:val="21"/>
          <w:szCs w:val="21"/>
          <w14:ligatures w14:val="none"/>
        </w:rPr>
        <w:t>-</w:t>
      </w:r>
      <w:r w:rsidRPr="001F1BC2">
        <w:rPr>
          <w:rFonts w:ascii="inherit" w:eastAsia="Times New Roman" w:hAnsi="inherit" w:cs="Open Sans"/>
          <w:color w:val="000000"/>
          <w:kern w:val="0"/>
          <w:sz w:val="21"/>
          <w:szCs w:val="21"/>
          <w14:ligatures w14:val="none"/>
        </w:rPr>
        <w:t>based resource that supports implementation.</w:t>
      </w:r>
    </w:p>
    <w:p w:rsidR="001F1BC2" w:rsidRPr="001F1BC2" w:rsidRDefault="001F1BC2" w:rsidP="001F1BC2">
      <w:pPr>
        <w:shd w:val="clear" w:color="auto" w:fill="FFFFFF"/>
        <w:spacing w:before="100" w:beforeAutospacing="1" w:after="100" w:afterAutospacing="1" w:line="276" w:lineRule="auto"/>
        <w:rPr>
          <w:rFonts w:ascii="inherit" w:eastAsia="Times New Roman" w:hAnsi="inherit" w:cs="Open Sans"/>
          <w:color w:val="000000"/>
          <w:kern w:val="0"/>
          <w:sz w:val="21"/>
          <w:szCs w:val="21"/>
          <w14:ligatures w14:val="none"/>
        </w:rPr>
      </w:pPr>
      <w:r w:rsidRPr="001F1BC2">
        <w:rPr>
          <w:rFonts w:ascii="inherit" w:eastAsia="Times New Roman" w:hAnsi="inherit" w:cs="Open Sans"/>
          <w:color w:val="000000"/>
          <w:kern w:val="0"/>
          <w:sz w:val="21"/>
          <w:szCs w:val="21"/>
          <w14:ligatures w14:val="none"/>
        </w:rPr>
        <w:t xml:space="preserve">One personal strength that will help me gain stakeholder support is my ability to communicate effectively and build collaborative relationships. Working in the emergency department has taught me the importance of listening to different perspectives and maintaining open communication with interdisciplinary team members. By involving staff in the implementation process, addressing concerns, and demonstrating how a standardized SBAR tool can improve patient safety and workflow, I can help build trust and encourage participation. Strong interprofessional relationships are essential for sustaining </w:t>
      </w:r>
      <w:proofErr w:type="gramStart"/>
      <w:r w:rsidRPr="001F1BC2">
        <w:rPr>
          <w:rFonts w:ascii="inherit" w:eastAsia="Times New Roman" w:hAnsi="inherit" w:cs="Open Sans"/>
          <w:color w:val="000000"/>
          <w:kern w:val="0"/>
          <w:sz w:val="21"/>
          <w:szCs w:val="21"/>
          <w14:ligatures w14:val="none"/>
        </w:rPr>
        <w:t>evidence based</w:t>
      </w:r>
      <w:proofErr w:type="gramEnd"/>
      <w:r w:rsidRPr="001F1BC2">
        <w:rPr>
          <w:rFonts w:ascii="inherit" w:eastAsia="Times New Roman" w:hAnsi="inherit" w:cs="Open Sans"/>
          <w:color w:val="000000"/>
          <w:kern w:val="0"/>
          <w:sz w:val="21"/>
          <w:szCs w:val="21"/>
          <w14:ligatures w14:val="none"/>
        </w:rPr>
        <w:t xml:space="preserve"> practice changes and improving patient outcomes.</w:t>
      </w:r>
    </w:p>
    <w:p w:rsidR="001F1BC2" w:rsidRPr="001F1BC2" w:rsidRDefault="001F1BC2" w:rsidP="001F1BC2">
      <w:pPr>
        <w:shd w:val="clear" w:color="auto" w:fill="FFFFFF"/>
        <w:spacing w:beforeAutospacing="1" w:afterAutospacing="1" w:line="276" w:lineRule="auto"/>
        <w:rPr>
          <w:rFonts w:ascii="inherit" w:eastAsia="Times New Roman" w:hAnsi="inherit" w:cs="Open Sans"/>
          <w:color w:val="000000"/>
          <w:kern w:val="0"/>
          <w:sz w:val="21"/>
          <w:szCs w:val="21"/>
          <w14:ligatures w14:val="none"/>
        </w:rPr>
      </w:pPr>
      <w:r w:rsidRPr="001F1BC2">
        <w:rPr>
          <w:rFonts w:ascii="inherit" w:eastAsia="Times New Roman" w:hAnsi="inherit" w:cs="Open Sans"/>
          <w:b/>
          <w:bCs/>
          <w:color w:val="000000"/>
          <w:kern w:val="0"/>
          <w:sz w:val="21"/>
          <w:szCs w:val="21"/>
          <w:bdr w:val="none" w:sz="0" w:space="0" w:color="auto" w:frame="1"/>
          <w14:ligatures w14:val="none"/>
        </w:rPr>
        <w:t>References</w:t>
      </w:r>
    </w:p>
    <w:p w:rsidR="001F1BC2" w:rsidRPr="001F1BC2" w:rsidRDefault="001F1BC2" w:rsidP="001F1BC2">
      <w:pPr>
        <w:shd w:val="clear" w:color="auto" w:fill="FFFFFF"/>
        <w:spacing w:beforeAutospacing="1" w:afterAutospacing="1" w:line="276" w:lineRule="auto"/>
        <w:rPr>
          <w:rFonts w:ascii="inherit" w:eastAsia="Times New Roman" w:hAnsi="inherit" w:cs="Open Sans"/>
          <w:color w:val="000000"/>
          <w:kern w:val="0"/>
          <w:sz w:val="21"/>
          <w:szCs w:val="21"/>
          <w14:ligatures w14:val="none"/>
        </w:rPr>
      </w:pPr>
      <w:r w:rsidRPr="001F1BC2">
        <w:rPr>
          <w:rFonts w:ascii="inherit" w:eastAsia="Times New Roman" w:hAnsi="inherit" w:cs="Open Sans"/>
          <w:color w:val="000000"/>
          <w:kern w:val="0"/>
          <w:sz w:val="21"/>
          <w:szCs w:val="21"/>
          <w14:ligatures w14:val="none"/>
        </w:rPr>
        <w:t xml:space="preserve">Al </w:t>
      </w:r>
      <w:proofErr w:type="spellStart"/>
      <w:r w:rsidRPr="001F1BC2">
        <w:rPr>
          <w:rFonts w:ascii="inherit" w:eastAsia="Times New Roman" w:hAnsi="inherit" w:cs="Open Sans"/>
          <w:color w:val="000000"/>
          <w:kern w:val="0"/>
          <w:sz w:val="21"/>
          <w:szCs w:val="21"/>
          <w14:ligatures w14:val="none"/>
        </w:rPr>
        <w:t>Haliq</w:t>
      </w:r>
      <w:proofErr w:type="spellEnd"/>
      <w:r w:rsidRPr="001F1BC2">
        <w:rPr>
          <w:rFonts w:ascii="inherit" w:eastAsia="Times New Roman" w:hAnsi="inherit" w:cs="Open Sans"/>
          <w:color w:val="000000"/>
          <w:kern w:val="0"/>
          <w:sz w:val="21"/>
          <w:szCs w:val="21"/>
          <w14:ligatures w14:val="none"/>
        </w:rPr>
        <w:t xml:space="preserve">, S. A., &amp; </w:t>
      </w:r>
      <w:proofErr w:type="spellStart"/>
      <w:r w:rsidRPr="001F1BC2">
        <w:rPr>
          <w:rFonts w:ascii="inherit" w:eastAsia="Times New Roman" w:hAnsi="inherit" w:cs="Open Sans"/>
          <w:color w:val="000000"/>
          <w:kern w:val="0"/>
          <w:sz w:val="21"/>
          <w:szCs w:val="21"/>
          <w14:ligatures w14:val="none"/>
        </w:rPr>
        <w:t>AlShammari</w:t>
      </w:r>
      <w:proofErr w:type="spellEnd"/>
      <w:r w:rsidRPr="001F1BC2">
        <w:rPr>
          <w:rFonts w:ascii="inherit" w:eastAsia="Times New Roman" w:hAnsi="inherit" w:cs="Open Sans"/>
          <w:color w:val="000000"/>
          <w:kern w:val="0"/>
          <w:sz w:val="21"/>
          <w:szCs w:val="21"/>
          <w14:ligatures w14:val="none"/>
        </w:rPr>
        <w:t>, T. (2025). Communication handover barriers among nurses and paramedics in emergency care settings. </w:t>
      </w:r>
      <w:r w:rsidRPr="001F1BC2">
        <w:rPr>
          <w:rFonts w:ascii="inherit" w:eastAsia="Times New Roman" w:hAnsi="inherit" w:cs="Open Sans"/>
          <w:i/>
          <w:iCs/>
          <w:color w:val="000000"/>
          <w:kern w:val="0"/>
          <w:sz w:val="21"/>
          <w:szCs w:val="21"/>
          <w:bdr w:val="none" w:sz="0" w:space="0" w:color="auto" w:frame="1"/>
          <w14:ligatures w14:val="none"/>
        </w:rPr>
        <w:t>BMC Nursing, 24</w:t>
      </w:r>
      <w:r w:rsidRPr="001F1BC2">
        <w:rPr>
          <w:rFonts w:ascii="inherit" w:eastAsia="Times New Roman" w:hAnsi="inherit" w:cs="Open Sans"/>
          <w:color w:val="000000"/>
          <w:kern w:val="0"/>
          <w:sz w:val="21"/>
          <w:szCs w:val="21"/>
          <w14:ligatures w14:val="none"/>
        </w:rPr>
        <w:t>, 634. </w:t>
      </w:r>
      <w:hyperlink r:id="rId4" w:tgtFrame="_blank" w:history="1">
        <w:r w:rsidRPr="001F1BC2">
          <w:rPr>
            <w:rFonts w:ascii="inherit" w:eastAsia="Times New Roman" w:hAnsi="inherit" w:cs="Open Sans"/>
            <w:color w:val="1A65B0"/>
            <w:kern w:val="0"/>
            <w:sz w:val="21"/>
            <w:szCs w:val="21"/>
            <w:u w:val="single"/>
            <w:bdr w:val="none" w:sz="0" w:space="0" w:color="auto" w:frame="1"/>
            <w14:ligatures w14:val="none"/>
          </w:rPr>
          <w:t>https://doi.org/10.1186/s12912-025-03286-4</w:t>
        </w:r>
      </w:hyperlink>
    </w:p>
    <w:p w:rsidR="001F1BC2" w:rsidRPr="001F1BC2" w:rsidRDefault="001F1BC2" w:rsidP="001F1BC2">
      <w:pPr>
        <w:shd w:val="clear" w:color="auto" w:fill="FFFFFF"/>
        <w:spacing w:beforeAutospacing="1" w:afterAutospacing="1" w:line="276" w:lineRule="auto"/>
        <w:rPr>
          <w:rFonts w:ascii="inherit" w:eastAsia="Times New Roman" w:hAnsi="inherit" w:cs="Open Sans"/>
          <w:color w:val="000000"/>
          <w:kern w:val="0"/>
          <w:sz w:val="21"/>
          <w:szCs w:val="21"/>
          <w14:ligatures w14:val="none"/>
        </w:rPr>
      </w:pPr>
      <w:r w:rsidRPr="001F1BC2">
        <w:rPr>
          <w:rFonts w:ascii="inherit" w:eastAsia="Times New Roman" w:hAnsi="inherit" w:cs="Open Sans"/>
          <w:color w:val="000000"/>
          <w:kern w:val="0"/>
          <w:sz w:val="21"/>
          <w:szCs w:val="21"/>
          <w14:ligatures w14:val="none"/>
        </w:rPr>
        <w:t xml:space="preserve">Lo, L., </w:t>
      </w:r>
      <w:proofErr w:type="spellStart"/>
      <w:r w:rsidRPr="001F1BC2">
        <w:rPr>
          <w:rFonts w:ascii="inherit" w:eastAsia="Times New Roman" w:hAnsi="inherit" w:cs="Open Sans"/>
          <w:color w:val="000000"/>
          <w:kern w:val="0"/>
          <w:sz w:val="21"/>
          <w:szCs w:val="21"/>
          <w14:ligatures w14:val="none"/>
        </w:rPr>
        <w:t>Rotteau</w:t>
      </w:r>
      <w:proofErr w:type="spellEnd"/>
      <w:r w:rsidRPr="001F1BC2">
        <w:rPr>
          <w:rFonts w:ascii="inherit" w:eastAsia="Times New Roman" w:hAnsi="inherit" w:cs="Open Sans"/>
          <w:color w:val="000000"/>
          <w:kern w:val="0"/>
          <w:sz w:val="21"/>
          <w:szCs w:val="21"/>
          <w14:ligatures w14:val="none"/>
        </w:rPr>
        <w:t xml:space="preserve">, L., </w:t>
      </w:r>
      <w:proofErr w:type="spellStart"/>
      <w:r w:rsidRPr="001F1BC2">
        <w:rPr>
          <w:rFonts w:ascii="inherit" w:eastAsia="Times New Roman" w:hAnsi="inherit" w:cs="Open Sans"/>
          <w:color w:val="000000"/>
          <w:kern w:val="0"/>
          <w:sz w:val="21"/>
          <w:szCs w:val="21"/>
          <w14:ligatures w14:val="none"/>
        </w:rPr>
        <w:t>Shojania</w:t>
      </w:r>
      <w:proofErr w:type="spellEnd"/>
      <w:r w:rsidRPr="001F1BC2">
        <w:rPr>
          <w:rFonts w:ascii="inherit" w:eastAsia="Times New Roman" w:hAnsi="inherit" w:cs="Open Sans"/>
          <w:color w:val="000000"/>
          <w:kern w:val="0"/>
          <w:sz w:val="21"/>
          <w:szCs w:val="21"/>
          <w14:ligatures w14:val="none"/>
        </w:rPr>
        <w:t xml:space="preserve">, K., &amp; Jeffs, L. (2021). Can SBAR be implemented with high fidelity and does it improve communication between healthcare workers? A systematic scoping </w:t>
      </w:r>
      <w:proofErr w:type="gramStart"/>
      <w:r w:rsidRPr="001F1BC2">
        <w:rPr>
          <w:rFonts w:ascii="inherit" w:eastAsia="Times New Roman" w:hAnsi="inherit" w:cs="Open Sans"/>
          <w:color w:val="000000"/>
          <w:kern w:val="0"/>
          <w:sz w:val="21"/>
          <w:szCs w:val="21"/>
          <w14:ligatures w14:val="none"/>
        </w:rPr>
        <w:t>review</w:t>
      </w:r>
      <w:proofErr w:type="gramEnd"/>
      <w:r w:rsidRPr="001F1BC2">
        <w:rPr>
          <w:rFonts w:ascii="inherit" w:eastAsia="Times New Roman" w:hAnsi="inherit" w:cs="Open Sans"/>
          <w:color w:val="000000"/>
          <w:kern w:val="0"/>
          <w:sz w:val="21"/>
          <w:szCs w:val="21"/>
          <w14:ligatures w14:val="none"/>
        </w:rPr>
        <w:t>. </w:t>
      </w:r>
      <w:r w:rsidRPr="001F1BC2">
        <w:rPr>
          <w:rFonts w:ascii="inherit" w:eastAsia="Times New Roman" w:hAnsi="inherit" w:cs="Open Sans"/>
          <w:i/>
          <w:iCs/>
          <w:color w:val="000000"/>
          <w:kern w:val="0"/>
          <w:sz w:val="21"/>
          <w:szCs w:val="21"/>
          <w:bdr w:val="none" w:sz="0" w:space="0" w:color="auto" w:frame="1"/>
          <w14:ligatures w14:val="none"/>
        </w:rPr>
        <w:t>BMJ Open, 11</w:t>
      </w:r>
      <w:r w:rsidRPr="001F1BC2">
        <w:rPr>
          <w:rFonts w:ascii="inherit" w:eastAsia="Times New Roman" w:hAnsi="inherit" w:cs="Open Sans"/>
          <w:color w:val="000000"/>
          <w:kern w:val="0"/>
          <w:sz w:val="21"/>
          <w:szCs w:val="21"/>
          <w14:ligatures w14:val="none"/>
        </w:rPr>
        <w:t>(12), e055247. </w:t>
      </w:r>
      <w:hyperlink r:id="rId5" w:tgtFrame="_blank" w:history="1">
        <w:r w:rsidRPr="001F1BC2">
          <w:rPr>
            <w:rFonts w:ascii="inherit" w:eastAsia="Times New Roman" w:hAnsi="inherit" w:cs="Open Sans"/>
            <w:color w:val="1A65B0"/>
            <w:kern w:val="0"/>
            <w:sz w:val="21"/>
            <w:szCs w:val="21"/>
            <w:u w:val="single"/>
            <w:bdr w:val="none" w:sz="0" w:space="0" w:color="auto" w:frame="1"/>
            <w14:ligatures w14:val="none"/>
          </w:rPr>
          <w:t>https://doi.org/10.1136/bmjopen-2021-055247</w:t>
        </w:r>
      </w:hyperlink>
    </w:p>
    <w:p w:rsidR="001F1BC2" w:rsidRPr="001F1BC2" w:rsidRDefault="001F1BC2" w:rsidP="001F1BC2">
      <w:pPr>
        <w:spacing w:line="276" w:lineRule="auto"/>
        <w:rPr>
          <w:rFonts w:ascii="Times New Roman" w:eastAsia="Times New Roman" w:hAnsi="Times New Roman" w:cs="Times New Roman"/>
          <w:kern w:val="0"/>
          <w14:ligatures w14:val="none"/>
        </w:rPr>
      </w:pPr>
    </w:p>
    <w:p w:rsidR="001F1BC2" w:rsidRPr="001F1BC2" w:rsidRDefault="001F1BC2" w:rsidP="001F1BC2">
      <w:pPr>
        <w:spacing w:line="276" w:lineRule="auto"/>
        <w:rPr>
          <w:b/>
          <w:bCs/>
        </w:rPr>
      </w:pPr>
    </w:p>
    <w:sectPr w:rsidR="001F1BC2" w:rsidRPr="001F1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A7"/>
    <w:rsid w:val="001F1BC2"/>
    <w:rsid w:val="004052A7"/>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7D20CF"/>
  <w15:chartTrackingRefBased/>
  <w15:docId w15:val="{C6C2EEB7-0DCD-9544-AE70-A7F66079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2A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1BC2"/>
    <w:rPr>
      <w:b/>
      <w:bCs/>
    </w:rPr>
  </w:style>
  <w:style w:type="character" w:styleId="Emphasis">
    <w:name w:val="Emphasis"/>
    <w:basedOn w:val="DefaultParagraphFont"/>
    <w:uiPriority w:val="20"/>
    <w:qFormat/>
    <w:rsid w:val="001F1BC2"/>
    <w:rPr>
      <w:i/>
      <w:iCs/>
    </w:rPr>
  </w:style>
  <w:style w:type="character" w:styleId="Hyperlink">
    <w:name w:val="Hyperlink"/>
    <w:basedOn w:val="DefaultParagraphFont"/>
    <w:uiPriority w:val="99"/>
    <w:semiHidden/>
    <w:unhideWhenUsed/>
    <w:rsid w:val="001F1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7733">
      <w:bodyDiv w:val="1"/>
      <w:marLeft w:val="0"/>
      <w:marRight w:val="0"/>
      <w:marTop w:val="0"/>
      <w:marBottom w:val="0"/>
      <w:divBdr>
        <w:top w:val="none" w:sz="0" w:space="0" w:color="auto"/>
        <w:left w:val="none" w:sz="0" w:space="0" w:color="auto"/>
        <w:bottom w:val="none" w:sz="0" w:space="0" w:color="auto"/>
        <w:right w:val="none" w:sz="0" w:space="0" w:color="auto"/>
      </w:divBdr>
    </w:div>
    <w:div w:id="622078165">
      <w:bodyDiv w:val="1"/>
      <w:marLeft w:val="0"/>
      <w:marRight w:val="0"/>
      <w:marTop w:val="0"/>
      <w:marBottom w:val="0"/>
      <w:divBdr>
        <w:top w:val="none" w:sz="0" w:space="0" w:color="auto"/>
        <w:left w:val="none" w:sz="0" w:space="0" w:color="auto"/>
        <w:bottom w:val="none" w:sz="0" w:space="0" w:color="auto"/>
        <w:right w:val="none" w:sz="0" w:space="0" w:color="auto"/>
      </w:divBdr>
      <w:divsChild>
        <w:div w:id="364601829">
          <w:marLeft w:val="0"/>
          <w:marRight w:val="0"/>
          <w:marTop w:val="0"/>
          <w:marBottom w:val="0"/>
          <w:divBdr>
            <w:top w:val="none" w:sz="0" w:space="0" w:color="auto"/>
            <w:left w:val="none" w:sz="0" w:space="0" w:color="auto"/>
            <w:bottom w:val="none" w:sz="0" w:space="0" w:color="auto"/>
            <w:right w:val="none" w:sz="0" w:space="0" w:color="auto"/>
          </w:divBdr>
          <w:divsChild>
            <w:div w:id="12010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36/bmjopen-2021-055247" TargetMode="External"/><Relationship Id="rId4" Type="http://schemas.openxmlformats.org/officeDocument/2006/relationships/hyperlink" Target="https://doi.org/10.1186/s12912-025-032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2026-07-14T10:39:00Z</dcterms:created>
  <dcterms:modified xsi:type="dcterms:W3CDTF">2026-07-14T10:39:00Z</dcterms:modified>
</cp:coreProperties>
</file>