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5FDC" w:rsidRDefault="0087675F" w:rsidP="005D5FDC">
      <w:pPr>
        <w:pStyle w:val="NormalWeb"/>
        <w:shd w:val="clear" w:color="auto" w:fill="FFFFFF"/>
        <w:spacing w:before="0" w:after="0" w:line="360" w:lineRule="atLeast"/>
        <w:rPr>
          <w:rFonts w:ascii="Open Sans" w:hAnsi="Open Sans" w:cs="Open Sans"/>
          <w:b/>
          <w:bCs/>
          <w:color w:val="212121"/>
          <w:spacing w:val="2"/>
        </w:rPr>
      </w:pPr>
      <w:r w:rsidRPr="0087675F">
        <w:rPr>
          <w:rFonts w:ascii="Open Sans" w:hAnsi="Open Sans" w:cs="Open Sans"/>
          <w:b/>
          <w:bCs/>
          <w:color w:val="212121"/>
          <w:spacing w:val="2"/>
        </w:rPr>
        <w:t>Topic 5 DQ 2</w:t>
      </w:r>
      <w:r w:rsidR="005D5FDC">
        <w:rPr>
          <w:rFonts w:ascii="Open Sans" w:hAnsi="Open Sans" w:cs="Open Sans"/>
          <w:b/>
          <w:bCs/>
          <w:color w:val="212121"/>
          <w:spacing w:val="2"/>
        </w:rPr>
        <w:t xml:space="preserve"> Responses</w:t>
      </w:r>
    </w:p>
    <w:p w:rsidR="005D5FDC" w:rsidRDefault="00C65663" w:rsidP="005D5FDC">
      <w:pPr>
        <w:pStyle w:val="NormalWeb"/>
        <w:shd w:val="clear" w:color="auto" w:fill="FFFFFF"/>
        <w:spacing w:before="0" w:after="0" w:line="360" w:lineRule="atLeast"/>
        <w:rPr>
          <w:rFonts w:ascii="Open Sans" w:hAnsi="Open Sans" w:cs="Open Sans"/>
          <w:b/>
          <w:bCs/>
          <w:color w:val="212121"/>
          <w:spacing w:val="2"/>
        </w:rPr>
      </w:pPr>
      <w:r>
        <w:rPr>
          <w:rFonts w:ascii="Open Sans" w:hAnsi="Open Sans" w:cs="Open Sans"/>
          <w:b/>
          <w:bCs/>
          <w:color w:val="212121"/>
          <w:spacing w:val="2"/>
        </w:rPr>
        <w:t>Paige</w:t>
      </w:r>
      <w:r w:rsidR="005D5FDC">
        <w:rPr>
          <w:rFonts w:ascii="Open Sans" w:hAnsi="Open Sans" w:cs="Open Sans"/>
          <w:b/>
          <w:bCs/>
          <w:color w:val="212121"/>
          <w:spacing w:val="2"/>
        </w:rPr>
        <w:t>’s Discussion</w:t>
      </w:r>
    </w:p>
    <w:p w:rsidR="00C65663" w:rsidRDefault="00C65663" w:rsidP="00C65663">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EHR</w:t>
      </w:r>
      <w:r>
        <w:rPr>
          <w:rFonts w:ascii="Open Sans" w:hAnsi="Open Sans" w:cs="Open Sans"/>
          <w:color w:val="212121"/>
          <w:spacing w:val="2"/>
          <w:sz w:val="21"/>
          <w:szCs w:val="21"/>
        </w:rPr>
        <w:noBreakHyphen/>
        <w:t>integrated visual analytics dashboards and HIPAA</w:t>
      </w:r>
      <w:r>
        <w:rPr>
          <w:rFonts w:ascii="Open Sans" w:hAnsi="Open Sans" w:cs="Open Sans"/>
          <w:color w:val="212121"/>
          <w:spacing w:val="2"/>
          <w:sz w:val="21"/>
          <w:szCs w:val="21"/>
        </w:rPr>
        <w:noBreakHyphen/>
        <w:t>compliant secure messaging are two technologies that can improve capstone implementation by enabling real</w:t>
      </w:r>
      <w:r>
        <w:rPr>
          <w:rFonts w:ascii="Open Sans" w:hAnsi="Open Sans" w:cs="Open Sans"/>
          <w:color w:val="212121"/>
          <w:spacing w:val="2"/>
          <w:sz w:val="21"/>
          <w:szCs w:val="21"/>
        </w:rPr>
        <w:noBreakHyphen/>
        <w:t>time monitoring and faster, auditable team coordination. An EHR</w:t>
      </w:r>
      <w:r>
        <w:rPr>
          <w:rFonts w:ascii="Open Sans" w:hAnsi="Open Sans" w:cs="Open Sans"/>
          <w:color w:val="212121"/>
          <w:spacing w:val="2"/>
          <w:sz w:val="21"/>
          <w:szCs w:val="21"/>
        </w:rPr>
        <w:noBreakHyphen/>
        <w:t>integrated visual analytics dashboard consolidates clinical and operational data into interactive, role</w:t>
      </w:r>
      <w:r>
        <w:rPr>
          <w:rFonts w:ascii="Open Sans" w:hAnsi="Open Sans" w:cs="Open Sans"/>
          <w:color w:val="212121"/>
          <w:spacing w:val="2"/>
          <w:sz w:val="21"/>
          <w:szCs w:val="21"/>
        </w:rPr>
        <w:noBreakHyphen/>
        <w:t>based displays and automated alerts so implementation teams can monitor 3–5 key performance indicators (e.g., screening completion, follow</w:t>
      </w:r>
      <w:r>
        <w:rPr>
          <w:rFonts w:ascii="Open Sans" w:hAnsi="Open Sans" w:cs="Open Sans"/>
          <w:color w:val="212121"/>
          <w:spacing w:val="2"/>
          <w:sz w:val="21"/>
          <w:szCs w:val="21"/>
        </w:rPr>
        <w:noBreakHyphen/>
        <w:t>up adherence, time</w:t>
      </w:r>
      <w:r>
        <w:rPr>
          <w:rFonts w:ascii="Open Sans" w:hAnsi="Open Sans" w:cs="Open Sans"/>
          <w:color w:val="212121"/>
          <w:spacing w:val="2"/>
          <w:sz w:val="21"/>
          <w:szCs w:val="21"/>
        </w:rPr>
        <w:noBreakHyphen/>
        <w:t>to</w:t>
      </w:r>
      <w:r>
        <w:rPr>
          <w:rFonts w:ascii="Open Sans" w:hAnsi="Open Sans" w:cs="Open Sans"/>
          <w:color w:val="212121"/>
          <w:spacing w:val="2"/>
          <w:sz w:val="21"/>
          <w:szCs w:val="21"/>
        </w:rPr>
        <w:noBreakHyphen/>
        <w:t>intervention), detect deviations during roll</w:t>
      </w:r>
      <w:r>
        <w:rPr>
          <w:rFonts w:ascii="Open Sans" w:hAnsi="Open Sans" w:cs="Open Sans"/>
          <w:color w:val="212121"/>
          <w:spacing w:val="2"/>
          <w:sz w:val="21"/>
          <w:szCs w:val="21"/>
        </w:rPr>
        <w:noBreakHyphen/>
        <w:t>out, and run rapid Plan</w:t>
      </w:r>
      <w:r>
        <w:rPr>
          <w:rFonts w:ascii="Open Sans" w:hAnsi="Open Sans" w:cs="Open Sans"/>
          <w:color w:val="212121"/>
          <w:spacing w:val="2"/>
          <w:sz w:val="21"/>
          <w:szCs w:val="21"/>
        </w:rPr>
        <w:noBreakHyphen/>
        <w:t>Do</w:t>
      </w:r>
      <w:r>
        <w:rPr>
          <w:rFonts w:ascii="Open Sans" w:hAnsi="Open Sans" w:cs="Open Sans"/>
          <w:color w:val="212121"/>
          <w:spacing w:val="2"/>
          <w:sz w:val="21"/>
          <w:szCs w:val="21"/>
        </w:rPr>
        <w:noBreakHyphen/>
        <w:t>Study</w:t>
      </w:r>
      <w:r>
        <w:rPr>
          <w:rFonts w:ascii="Open Sans" w:hAnsi="Open Sans" w:cs="Open Sans"/>
          <w:color w:val="212121"/>
          <w:spacing w:val="2"/>
          <w:sz w:val="21"/>
          <w:szCs w:val="21"/>
        </w:rPr>
        <w:noBreakHyphen/>
        <w:t>Act cycles rather than relying on delayed chart audits; visual analytics research shows these systems help manage information overload in EHRs and support situational awareness and quality</w:t>
      </w:r>
      <w:r>
        <w:rPr>
          <w:rFonts w:ascii="Open Sans" w:hAnsi="Open Sans" w:cs="Open Sans"/>
          <w:color w:val="212121"/>
          <w:spacing w:val="2"/>
          <w:sz w:val="21"/>
          <w:szCs w:val="21"/>
        </w:rPr>
        <w:noBreakHyphen/>
        <w:t>improvement activities when embedded in workflows. A HIPAA</w:t>
      </w:r>
      <w:r>
        <w:rPr>
          <w:rFonts w:ascii="Open Sans" w:hAnsi="Open Sans" w:cs="Open Sans"/>
          <w:color w:val="212121"/>
          <w:spacing w:val="2"/>
          <w:sz w:val="21"/>
          <w:szCs w:val="21"/>
        </w:rPr>
        <w:noBreakHyphen/>
        <w:t>compliant secure messaging platform (preferably EHR</w:t>
      </w:r>
      <w:r>
        <w:rPr>
          <w:rFonts w:ascii="Open Sans" w:hAnsi="Open Sans" w:cs="Open Sans"/>
          <w:color w:val="212121"/>
          <w:spacing w:val="2"/>
          <w:sz w:val="21"/>
          <w:szCs w:val="21"/>
        </w:rPr>
        <w:noBreakHyphen/>
        <w:t>integrated) speeds interdisciplinary coordination by replacing slow paging/email workflows with encrypted, auditable messages, templates for standardized handoffs, and measurable response</w:t>
      </w:r>
      <w:r>
        <w:rPr>
          <w:rFonts w:ascii="Open Sans" w:hAnsi="Open Sans" w:cs="Open Sans"/>
          <w:color w:val="212121"/>
          <w:spacing w:val="2"/>
          <w:sz w:val="21"/>
          <w:szCs w:val="21"/>
        </w:rPr>
        <w:noBreakHyphen/>
        <w:t>time metrics</w:t>
      </w:r>
      <w:r w:rsidR="00A4611C">
        <w:rPr>
          <w:rFonts w:ascii="Open Sans" w:hAnsi="Open Sans" w:cs="Open Sans"/>
          <w:color w:val="212121"/>
          <w:spacing w:val="2"/>
          <w:sz w:val="21"/>
          <w:szCs w:val="21"/>
        </w:rPr>
        <w:t>.</w:t>
      </w:r>
      <w:r>
        <w:rPr>
          <w:rFonts w:ascii="Open Sans" w:hAnsi="Open Sans" w:cs="Open Sans"/>
          <w:color w:val="212121"/>
          <w:spacing w:val="2"/>
          <w:sz w:val="21"/>
          <w:szCs w:val="21"/>
        </w:rPr>
        <w:t xml:space="preserve"> </w:t>
      </w:r>
      <w:r w:rsidR="00A4611C">
        <w:rPr>
          <w:rFonts w:ascii="Open Sans" w:hAnsi="Open Sans" w:cs="Open Sans"/>
          <w:color w:val="212121"/>
          <w:spacing w:val="2"/>
          <w:sz w:val="21"/>
          <w:szCs w:val="21"/>
        </w:rPr>
        <w:t>S</w:t>
      </w:r>
      <w:r>
        <w:rPr>
          <w:rFonts w:ascii="Open Sans" w:hAnsi="Open Sans" w:cs="Open Sans"/>
          <w:color w:val="212121"/>
          <w:spacing w:val="2"/>
          <w:sz w:val="21"/>
          <w:szCs w:val="21"/>
        </w:rPr>
        <w:t>tudies of secure messaging use document common message types, workflow impacts, and how message content and patterns relate to clinical communication needs. During implementation</w:t>
      </w:r>
      <w:r w:rsidR="00A4611C">
        <w:rPr>
          <w:rFonts w:ascii="Open Sans" w:hAnsi="Open Sans" w:cs="Open Sans"/>
          <w:color w:val="212121"/>
          <w:spacing w:val="2"/>
          <w:sz w:val="21"/>
          <w:szCs w:val="21"/>
        </w:rPr>
        <w:t>,</w:t>
      </w:r>
      <w:r>
        <w:rPr>
          <w:rFonts w:ascii="Open Sans" w:hAnsi="Open Sans" w:cs="Open Sans"/>
          <w:color w:val="212121"/>
          <w:spacing w:val="2"/>
          <w:sz w:val="21"/>
          <w:szCs w:val="21"/>
        </w:rPr>
        <w:t xml:space="preserve"> I would pilot the dashboard on a single unit with threshold alerts routed to specific roles and deploy secure messaging channels with templates and training to standardize handoffs; together</w:t>
      </w:r>
      <w:r w:rsidR="003A4922">
        <w:rPr>
          <w:rFonts w:ascii="Open Sans" w:hAnsi="Open Sans" w:cs="Open Sans"/>
          <w:color w:val="212121"/>
          <w:spacing w:val="2"/>
          <w:sz w:val="21"/>
          <w:szCs w:val="21"/>
        </w:rPr>
        <w:t>,</w:t>
      </w:r>
      <w:r>
        <w:rPr>
          <w:rFonts w:ascii="Open Sans" w:hAnsi="Open Sans" w:cs="Open Sans"/>
          <w:color w:val="212121"/>
          <w:spacing w:val="2"/>
          <w:sz w:val="21"/>
          <w:szCs w:val="21"/>
        </w:rPr>
        <w:t xml:space="preserve"> these tools shorten feedback loops and improve fidelity to the intervention. A primary barrier is data integration and governance, creating timely, accurate dashboards and enforcing secure messaging requires IT resources, clean data pipelines, strict access controls, and clinician training, and without organizational commitment</w:t>
      </w:r>
      <w:r w:rsidR="00A4611C">
        <w:rPr>
          <w:rFonts w:ascii="Open Sans" w:hAnsi="Open Sans" w:cs="Open Sans"/>
          <w:color w:val="212121"/>
          <w:spacing w:val="2"/>
          <w:sz w:val="21"/>
          <w:szCs w:val="21"/>
        </w:rPr>
        <w:t>,</w:t>
      </w:r>
      <w:r>
        <w:rPr>
          <w:rFonts w:ascii="Open Sans" w:hAnsi="Open Sans" w:cs="Open Sans"/>
          <w:color w:val="212121"/>
          <w:spacing w:val="2"/>
          <w:sz w:val="21"/>
          <w:szCs w:val="21"/>
        </w:rPr>
        <w:t xml:space="preserve"> these tools risk low adoption or inaccurate reporting.</w:t>
      </w:r>
    </w:p>
    <w:p w:rsidR="00C65663" w:rsidRPr="00A4611C" w:rsidRDefault="00C65663" w:rsidP="00C65663">
      <w:pPr>
        <w:pStyle w:val="NormalWeb"/>
        <w:shd w:val="clear" w:color="auto" w:fill="FFFFFF"/>
        <w:spacing w:line="360" w:lineRule="atLeast"/>
        <w:rPr>
          <w:rFonts w:ascii="Open Sans" w:hAnsi="Open Sans" w:cs="Open Sans"/>
          <w:b/>
          <w:bCs/>
          <w:color w:val="212121"/>
          <w:spacing w:val="2"/>
          <w:sz w:val="21"/>
          <w:szCs w:val="21"/>
        </w:rPr>
      </w:pPr>
      <w:r w:rsidRPr="00A4611C">
        <w:rPr>
          <w:rFonts w:ascii="Open Sans" w:hAnsi="Open Sans" w:cs="Open Sans"/>
          <w:b/>
          <w:bCs/>
          <w:color w:val="212121"/>
          <w:spacing w:val="2"/>
          <w:sz w:val="21"/>
          <w:szCs w:val="21"/>
        </w:rPr>
        <w:t>References:</w:t>
      </w:r>
    </w:p>
    <w:p w:rsidR="00C65663" w:rsidRDefault="00C65663" w:rsidP="00A4611C">
      <w:pPr>
        <w:pStyle w:val="NormalWeb"/>
        <w:shd w:val="clear" w:color="auto" w:fill="FFFFFF"/>
        <w:spacing w:before="0" w:after="0" w:line="360" w:lineRule="atLeast"/>
        <w:ind w:left="720" w:hanging="720"/>
        <w:rPr>
          <w:rFonts w:ascii="Open Sans" w:hAnsi="Open Sans" w:cs="Open Sans"/>
          <w:color w:val="212121"/>
          <w:spacing w:val="2"/>
          <w:sz w:val="21"/>
          <w:szCs w:val="21"/>
        </w:rPr>
      </w:pPr>
      <w:r>
        <w:rPr>
          <w:rFonts w:ascii="Open Sans" w:hAnsi="Open Sans" w:cs="Open Sans"/>
          <w:color w:val="212121"/>
          <w:spacing w:val="2"/>
          <w:sz w:val="21"/>
          <w:szCs w:val="21"/>
        </w:rPr>
        <w:t>De, A., Huang, M., Feng, T., Yue, X., &amp; Yao, L. (2021). Analyzing patient secure messages using a Fast Health Care Interoperability Resources (FHIR)–based data model: Development and topic modeling study. </w:t>
      </w:r>
      <w:r>
        <w:rPr>
          <w:rStyle w:val="Emphasis"/>
          <w:rFonts w:ascii="inherit" w:hAnsi="inherit" w:cs="Open Sans"/>
          <w:color w:val="212121"/>
          <w:spacing w:val="2"/>
          <w:sz w:val="21"/>
          <w:szCs w:val="21"/>
          <w:bdr w:val="none" w:sz="0" w:space="0" w:color="auto" w:frame="1"/>
        </w:rPr>
        <w:t>Journal of Medical Internet Research, 23</w:t>
      </w:r>
      <w:r>
        <w:rPr>
          <w:rFonts w:ascii="Open Sans" w:hAnsi="Open Sans" w:cs="Open Sans"/>
          <w:color w:val="212121"/>
          <w:spacing w:val="2"/>
          <w:sz w:val="21"/>
          <w:szCs w:val="21"/>
        </w:rPr>
        <w:t>(7), e26770. </w:t>
      </w:r>
      <w:hyperlink r:id="rId4" w:tgtFrame="_blank" w:history="1">
        <w:r>
          <w:rPr>
            <w:rStyle w:val="Hyperlink"/>
            <w:rFonts w:ascii="inherit" w:hAnsi="inherit" w:cs="Open Sans"/>
            <w:color w:val="1A65B0"/>
            <w:spacing w:val="2"/>
            <w:sz w:val="21"/>
            <w:szCs w:val="21"/>
            <w:bdr w:val="none" w:sz="0" w:space="0" w:color="auto" w:frame="1"/>
          </w:rPr>
          <w:t>https://doi.org/10.2196/26770</w:t>
        </w:r>
      </w:hyperlink>
    </w:p>
    <w:p w:rsidR="00C65663" w:rsidRDefault="00C65663" w:rsidP="00A4611C">
      <w:pPr>
        <w:pStyle w:val="NormalWeb"/>
        <w:shd w:val="clear" w:color="auto" w:fill="FFFFFF"/>
        <w:spacing w:before="0" w:after="0" w:line="360" w:lineRule="atLeast"/>
        <w:ind w:left="720" w:hanging="720"/>
        <w:rPr>
          <w:rFonts w:ascii="Open Sans" w:hAnsi="Open Sans" w:cs="Open Sans"/>
          <w:color w:val="212121"/>
          <w:spacing w:val="2"/>
          <w:sz w:val="21"/>
          <w:szCs w:val="21"/>
        </w:rPr>
      </w:pPr>
      <w:proofErr w:type="spellStart"/>
      <w:r>
        <w:rPr>
          <w:rFonts w:ascii="Open Sans" w:hAnsi="Open Sans" w:cs="Open Sans"/>
          <w:color w:val="212121"/>
          <w:spacing w:val="2"/>
          <w:sz w:val="21"/>
          <w:szCs w:val="21"/>
        </w:rPr>
        <w:t>Rostamzadeh</w:t>
      </w:r>
      <w:proofErr w:type="spellEnd"/>
      <w:r>
        <w:rPr>
          <w:rFonts w:ascii="Open Sans" w:hAnsi="Open Sans" w:cs="Open Sans"/>
          <w:color w:val="212121"/>
          <w:spacing w:val="2"/>
          <w:sz w:val="21"/>
          <w:szCs w:val="21"/>
        </w:rPr>
        <w:t xml:space="preserve">, N., Abdullah, S. S., &amp; </w:t>
      </w:r>
      <w:proofErr w:type="spellStart"/>
      <w:r>
        <w:rPr>
          <w:rFonts w:ascii="Open Sans" w:hAnsi="Open Sans" w:cs="Open Sans"/>
          <w:color w:val="212121"/>
          <w:spacing w:val="2"/>
          <w:sz w:val="21"/>
          <w:szCs w:val="21"/>
        </w:rPr>
        <w:t>Sedig</w:t>
      </w:r>
      <w:proofErr w:type="spellEnd"/>
      <w:r>
        <w:rPr>
          <w:rFonts w:ascii="Open Sans" w:hAnsi="Open Sans" w:cs="Open Sans"/>
          <w:color w:val="212121"/>
          <w:spacing w:val="2"/>
          <w:sz w:val="21"/>
          <w:szCs w:val="21"/>
        </w:rPr>
        <w:t>, K. (2021). Visual analytics for electronic health records: A review. </w:t>
      </w:r>
      <w:r>
        <w:rPr>
          <w:rStyle w:val="Emphasis"/>
          <w:rFonts w:ascii="inherit" w:hAnsi="inherit" w:cs="Open Sans"/>
          <w:color w:val="212121"/>
          <w:spacing w:val="2"/>
          <w:sz w:val="21"/>
          <w:szCs w:val="21"/>
          <w:bdr w:val="none" w:sz="0" w:space="0" w:color="auto" w:frame="1"/>
        </w:rPr>
        <w:t>Informatics, 8</w:t>
      </w:r>
      <w:r>
        <w:rPr>
          <w:rFonts w:ascii="Open Sans" w:hAnsi="Open Sans" w:cs="Open Sans"/>
          <w:color w:val="212121"/>
          <w:spacing w:val="2"/>
          <w:sz w:val="21"/>
          <w:szCs w:val="21"/>
        </w:rPr>
        <w:t>(1), 12. </w:t>
      </w:r>
      <w:hyperlink r:id="rId5" w:tgtFrame="_blank" w:history="1">
        <w:r>
          <w:rPr>
            <w:rStyle w:val="Hyperlink"/>
            <w:rFonts w:ascii="inherit" w:hAnsi="inherit" w:cs="Open Sans"/>
            <w:color w:val="1A65B0"/>
            <w:spacing w:val="2"/>
            <w:sz w:val="21"/>
            <w:szCs w:val="21"/>
            <w:bdr w:val="none" w:sz="0" w:space="0" w:color="auto" w:frame="1"/>
          </w:rPr>
          <w:t>https://doi.org/10.3390/informatics8010012</w:t>
        </w:r>
      </w:hyperlink>
    </w:p>
    <w:p w:rsidR="00A4611C" w:rsidRDefault="00A4611C" w:rsidP="00A4611C">
      <w:pPr>
        <w:shd w:val="clear" w:color="auto" w:fill="FFFFFF"/>
        <w:ind w:left="720" w:hanging="720"/>
        <w:rPr>
          <w:rFonts w:ascii="Open Sans" w:hAnsi="Open Sans" w:cs="Open Sans"/>
          <w:b/>
          <w:bCs/>
          <w:color w:val="212121"/>
          <w:spacing w:val="2"/>
        </w:rPr>
      </w:pPr>
    </w:p>
    <w:p w:rsidR="0087675F" w:rsidRPr="00A4611C" w:rsidRDefault="00A4611C" w:rsidP="00A4611C">
      <w:pPr>
        <w:shd w:val="clear" w:color="auto" w:fill="FFFFFF"/>
        <w:rPr>
          <w:rFonts w:ascii="Times New Roman" w:eastAsia="Times New Roman" w:hAnsi="Times New Roman" w:cs="Times New Roman"/>
          <w:kern w:val="0"/>
          <w:bdr w:val="none" w:sz="0" w:space="0" w:color="auto" w:frame="1"/>
          <w14:ligatures w14:val="none"/>
        </w:rPr>
      </w:pPr>
      <w:r>
        <w:rPr>
          <w:rFonts w:ascii="Open Sans" w:hAnsi="Open Sans" w:cs="Open Sans"/>
          <w:b/>
          <w:bCs/>
          <w:color w:val="212121"/>
          <w:spacing w:val="2"/>
        </w:rPr>
        <w:lastRenderedPageBreak/>
        <w:t>Christina</w:t>
      </w:r>
      <w:r w:rsidR="005D5FDC">
        <w:rPr>
          <w:rFonts w:ascii="Open Sans" w:hAnsi="Open Sans" w:cs="Open Sans"/>
          <w:b/>
          <w:bCs/>
          <w:color w:val="212121"/>
          <w:spacing w:val="2"/>
        </w:rPr>
        <w:t>’s Discussion</w:t>
      </w:r>
    </w:p>
    <w:p w:rsidR="00A4611C" w:rsidRDefault="00A4611C" w:rsidP="00A4611C">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color w:val="000000"/>
          <w:spacing w:val="2"/>
          <w:bdr w:val="none" w:sz="0" w:space="0" w:color="auto" w:frame="1"/>
        </w:rPr>
        <w:t>The use of technology will play an important part in my capstone project, which focuses on improving patient education within 24 hours of admission for patients with critical limb ischemia (CLI). One technology that can support this project is the electronic health record. The electronic health record can sort data that is collected from the patient's health history as well as from their current admission to help create a template for education. We can also create a standardized education plan for when the patient goes home for a reference on tasks such as smoking cessation, medication adherence, wound care, and recognizing symptoms of a worsening condition. It will be important to assess the patient</w:t>
      </w:r>
      <w:r>
        <w:rPr>
          <w:color w:val="000000"/>
          <w:spacing w:val="2"/>
          <w:bdr w:val="none" w:sz="0" w:space="0" w:color="auto" w:frame="1"/>
        </w:rPr>
        <w:t>’s</w:t>
      </w:r>
      <w:r>
        <w:rPr>
          <w:color w:val="000000"/>
          <w:spacing w:val="2"/>
          <w:bdr w:val="none" w:sz="0" w:space="0" w:color="auto" w:frame="1"/>
        </w:rPr>
        <w:t xml:space="preserve"> understand</w:t>
      </w:r>
      <w:r>
        <w:rPr>
          <w:color w:val="000000"/>
          <w:spacing w:val="2"/>
          <w:bdr w:val="none" w:sz="0" w:space="0" w:color="auto" w:frame="1"/>
        </w:rPr>
        <w:t>ing</w:t>
      </w:r>
      <w:r>
        <w:rPr>
          <w:color w:val="000000"/>
          <w:spacing w:val="2"/>
          <w:bdr w:val="none" w:sz="0" w:space="0" w:color="auto" w:frame="1"/>
        </w:rPr>
        <w:t xml:space="preserve"> due </w:t>
      </w:r>
      <w:r>
        <w:rPr>
          <w:color w:val="1F1F1F"/>
          <w:spacing w:val="2"/>
          <w:bdr w:val="none" w:sz="0" w:space="0" w:color="auto" w:frame="1"/>
        </w:rPr>
        <w:t>there being critical gaps in knowledge</w:t>
      </w:r>
      <w:r>
        <w:rPr>
          <w:color w:val="1F1F1F"/>
          <w:spacing w:val="2"/>
          <w:bdr w:val="none" w:sz="0" w:space="0" w:color="auto" w:frame="1"/>
        </w:rPr>
        <w:t>,</w:t>
      </w:r>
      <w:r>
        <w:rPr>
          <w:color w:val="1F1F1F"/>
          <w:spacing w:val="2"/>
          <w:bdr w:val="none" w:sz="0" w:space="0" w:color="auto" w:frame="1"/>
        </w:rPr>
        <w:t xml:space="preserve"> including lack of insight into patients’ perception of their disease and how socioeconomic, psychosocial, and economic variables impact prognosis (</w:t>
      </w:r>
      <w:proofErr w:type="spellStart"/>
      <w:r>
        <w:rPr>
          <w:color w:val="1F1F1F"/>
          <w:spacing w:val="2"/>
          <w:bdr w:val="none" w:sz="0" w:space="0" w:color="auto" w:frame="1"/>
        </w:rPr>
        <w:t>Scierka</w:t>
      </w:r>
      <w:proofErr w:type="spellEnd"/>
      <w:r>
        <w:rPr>
          <w:color w:val="1F1F1F"/>
          <w:spacing w:val="2"/>
          <w:bdr w:val="none" w:sz="0" w:space="0" w:color="auto" w:frame="1"/>
        </w:rPr>
        <w:t xml:space="preserve"> et al., 2022).  </w:t>
      </w:r>
    </w:p>
    <w:p w:rsidR="00A4611C" w:rsidRDefault="00A4611C" w:rsidP="00A4611C">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color w:val="000000"/>
          <w:spacing w:val="2"/>
          <w:bdr w:val="none" w:sz="0" w:space="0" w:color="auto" w:frame="1"/>
        </w:rPr>
        <w:t>A second technology that could improve outcomes is the patient portal. Education information, videos, and contact information for providers can be uploaded for patients and their caregivers to reference at any time during the admission and, most importantly, when they are discharged home. The patient portal can also be used for sending reminders of upcoming appointments so that the patients do not miss opportunities for follow-up care.  </w:t>
      </w:r>
    </w:p>
    <w:p w:rsidR="00A4611C" w:rsidRDefault="00A4611C" w:rsidP="00A4611C">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color w:val="000000"/>
          <w:spacing w:val="2"/>
          <w:bdr w:val="none" w:sz="0" w:space="0" w:color="auto" w:frame="1"/>
        </w:rPr>
        <w:t>One potential barrier to using these technologies is a lack of access or limited understanding of how to use the technology. For instance, some patients may not own a smartphone or a computer. According to an article</w:t>
      </w:r>
      <w:r>
        <w:rPr>
          <w:color w:val="000000"/>
          <w:spacing w:val="2"/>
          <w:bdr w:val="none" w:sz="0" w:space="0" w:color="auto" w:frame="1"/>
        </w:rPr>
        <w:t>,</w:t>
      </w:r>
      <w:r>
        <w:rPr>
          <w:color w:val="000000"/>
          <w:spacing w:val="2"/>
          <w:bdr w:val="none" w:sz="0" w:space="0" w:color="auto" w:frame="1"/>
        </w:rPr>
        <w:t> “t</w:t>
      </w:r>
      <w:r>
        <w:rPr>
          <w:color w:val="1B1B1B"/>
          <w:spacing w:val="2"/>
          <w:bdr w:val="none" w:sz="0" w:space="0" w:color="auto" w:frame="1"/>
        </w:rPr>
        <w:t>he top 5 barriers, in order of frequency, were: lack of skills or ability (55%), lack of interest (49%), lack of access to technology (45%)” (Kemp et al., 2025). </w:t>
      </w:r>
      <w:r>
        <w:rPr>
          <w:color w:val="000000"/>
          <w:spacing w:val="2"/>
          <w:bdr w:val="none" w:sz="0" w:space="0" w:color="auto" w:frame="1"/>
        </w:rPr>
        <w:t>To address this barrier, nurses should continue to provide face-to-face education using teach</w:t>
      </w:r>
      <w:r>
        <w:rPr>
          <w:color w:val="000000"/>
          <w:spacing w:val="2"/>
          <w:bdr w:val="none" w:sz="0" w:space="0" w:color="auto" w:frame="1"/>
        </w:rPr>
        <w:t>-</w:t>
      </w:r>
      <w:r>
        <w:rPr>
          <w:color w:val="000000"/>
          <w:spacing w:val="2"/>
          <w:bdr w:val="none" w:sz="0" w:space="0" w:color="auto" w:frame="1"/>
        </w:rPr>
        <w:t>back to confirm understanding.  </w:t>
      </w:r>
    </w:p>
    <w:p w:rsidR="00A4611C" w:rsidRPr="00A4611C" w:rsidRDefault="00A4611C" w:rsidP="00A4611C">
      <w:pPr>
        <w:pStyle w:val="NormalWeb"/>
        <w:spacing w:before="0" w:beforeAutospacing="0" w:after="0" w:afterAutospacing="0" w:line="360" w:lineRule="atLeast"/>
        <w:textAlignment w:val="baseline"/>
        <w:rPr>
          <w:rFonts w:ascii="Open Sans" w:hAnsi="Open Sans" w:cs="Open Sans"/>
          <w:b/>
          <w:bCs/>
          <w:color w:val="000000"/>
          <w:spacing w:val="2"/>
          <w:sz w:val="21"/>
          <w:szCs w:val="21"/>
        </w:rPr>
      </w:pPr>
      <w:r w:rsidRPr="00A4611C">
        <w:rPr>
          <w:b/>
          <w:bCs/>
          <w:color w:val="000000"/>
          <w:spacing w:val="2"/>
          <w:bdr w:val="none" w:sz="0" w:space="0" w:color="auto" w:frame="1"/>
        </w:rPr>
        <w:t>References:  </w:t>
      </w:r>
    </w:p>
    <w:p w:rsidR="00A4611C" w:rsidRDefault="00A4611C" w:rsidP="00A4611C">
      <w:pPr>
        <w:pStyle w:val="NormalWeb"/>
        <w:spacing w:before="0" w:beforeAutospacing="0" w:after="0" w:afterAutospacing="0" w:line="360" w:lineRule="atLeast"/>
        <w:ind w:left="720" w:hanging="720"/>
        <w:textAlignment w:val="baseline"/>
        <w:rPr>
          <w:rFonts w:ascii="Open Sans" w:hAnsi="Open Sans" w:cs="Open Sans"/>
          <w:color w:val="000000"/>
          <w:spacing w:val="2"/>
          <w:sz w:val="21"/>
          <w:szCs w:val="21"/>
        </w:rPr>
      </w:pPr>
      <w:r>
        <w:rPr>
          <w:color w:val="1B1B1B"/>
          <w:spacing w:val="2"/>
          <w:bdr w:val="none" w:sz="0" w:space="0" w:color="auto" w:frame="1"/>
        </w:rPr>
        <w:t>Kemp, M., Rising, K. L., </w:t>
      </w:r>
      <w:proofErr w:type="spellStart"/>
      <w:r>
        <w:rPr>
          <w:color w:val="1B1B1B"/>
          <w:spacing w:val="2"/>
          <w:bdr w:val="none" w:sz="0" w:space="0" w:color="auto" w:frame="1"/>
        </w:rPr>
        <w:t>Laynor</w:t>
      </w:r>
      <w:proofErr w:type="spellEnd"/>
      <w:r>
        <w:rPr>
          <w:color w:val="1B1B1B"/>
          <w:spacing w:val="2"/>
          <w:bdr w:val="none" w:sz="0" w:space="0" w:color="auto" w:frame="1"/>
        </w:rPr>
        <w:t xml:space="preserve">, G., Miao, J., </w:t>
      </w:r>
      <w:proofErr w:type="spellStart"/>
      <w:r>
        <w:rPr>
          <w:color w:val="1B1B1B"/>
          <w:spacing w:val="2"/>
          <w:bdr w:val="none" w:sz="0" w:space="0" w:color="auto" w:frame="1"/>
        </w:rPr>
        <w:t>Worster</w:t>
      </w:r>
      <w:proofErr w:type="spellEnd"/>
      <w:r>
        <w:rPr>
          <w:color w:val="1B1B1B"/>
          <w:spacing w:val="2"/>
          <w:bdr w:val="none" w:sz="0" w:space="0" w:color="auto" w:frame="1"/>
        </w:rPr>
        <w:t xml:space="preserve">, B., Chang, A. M., </w:t>
      </w:r>
      <w:proofErr w:type="spellStart"/>
      <w:r>
        <w:rPr>
          <w:color w:val="1B1B1B"/>
          <w:spacing w:val="2"/>
          <w:bdr w:val="none" w:sz="0" w:space="0" w:color="auto" w:frame="1"/>
        </w:rPr>
        <w:t>Monick</w:t>
      </w:r>
      <w:proofErr w:type="spellEnd"/>
      <w:r>
        <w:rPr>
          <w:color w:val="1B1B1B"/>
          <w:spacing w:val="2"/>
          <w:bdr w:val="none" w:sz="0" w:space="0" w:color="auto" w:frame="1"/>
        </w:rPr>
        <w:t xml:space="preserve">, A. J., </w:t>
      </w:r>
      <w:proofErr w:type="spellStart"/>
      <w:r>
        <w:rPr>
          <w:color w:val="1B1B1B"/>
          <w:spacing w:val="2"/>
          <w:bdr w:val="none" w:sz="0" w:space="0" w:color="auto" w:frame="1"/>
        </w:rPr>
        <w:t>Guth</w:t>
      </w:r>
      <w:proofErr w:type="spellEnd"/>
      <w:r>
        <w:rPr>
          <w:color w:val="1B1B1B"/>
          <w:spacing w:val="2"/>
          <w:bdr w:val="none" w:sz="0" w:space="0" w:color="auto" w:frame="1"/>
        </w:rPr>
        <w:t xml:space="preserve">, A., Esteves Camacho, T., McIntosh, K., Amadio, G., </w:t>
      </w:r>
      <w:proofErr w:type="spellStart"/>
      <w:r>
        <w:rPr>
          <w:color w:val="1B1B1B"/>
          <w:spacing w:val="2"/>
          <w:bdr w:val="none" w:sz="0" w:space="0" w:color="auto" w:frame="1"/>
        </w:rPr>
        <w:t>Shughart</w:t>
      </w:r>
      <w:proofErr w:type="spellEnd"/>
      <w:r>
        <w:rPr>
          <w:color w:val="1B1B1B"/>
          <w:spacing w:val="2"/>
          <w:bdr w:val="none" w:sz="0" w:space="0" w:color="auto" w:frame="1"/>
        </w:rPr>
        <w:t>, L., Hsiao, T., &amp; Leader, A. E. (2025). Barriers to telehealth uptake and use: a scoping review. </w:t>
      </w:r>
      <w:r>
        <w:rPr>
          <w:rStyle w:val="Emphasis"/>
          <w:rFonts w:ascii="inherit" w:hAnsi="inherit"/>
          <w:color w:val="000000"/>
          <w:spacing w:val="2"/>
          <w:bdr w:val="none" w:sz="0" w:space="0" w:color="auto" w:frame="1"/>
        </w:rPr>
        <w:t>JAMIA open</w:t>
      </w:r>
      <w:r>
        <w:rPr>
          <w:color w:val="1B1B1B"/>
          <w:spacing w:val="2"/>
          <w:bdr w:val="none" w:sz="0" w:space="0" w:color="auto" w:frame="1"/>
        </w:rPr>
        <w:t>, </w:t>
      </w:r>
      <w:r>
        <w:rPr>
          <w:rStyle w:val="Emphasis"/>
          <w:rFonts w:ascii="inherit" w:hAnsi="inherit"/>
          <w:color w:val="000000"/>
          <w:spacing w:val="2"/>
          <w:bdr w:val="none" w:sz="0" w:space="0" w:color="auto" w:frame="1"/>
        </w:rPr>
        <w:t>8</w:t>
      </w:r>
      <w:r>
        <w:rPr>
          <w:color w:val="1B1B1B"/>
          <w:spacing w:val="2"/>
          <w:bdr w:val="none" w:sz="0" w:space="0" w:color="auto" w:frame="1"/>
        </w:rPr>
        <w:t>(2), ooaf019. </w:t>
      </w:r>
      <w:hyperlink r:id="rId6" w:tgtFrame="_blank" w:history="1">
        <w:r>
          <w:rPr>
            <w:rStyle w:val="Hyperlink"/>
            <w:color w:val="1B1B1B"/>
            <w:spacing w:val="2"/>
            <w:bdr w:val="none" w:sz="0" w:space="0" w:color="auto" w:frame="1"/>
          </w:rPr>
          <w:t>https://doi.org/10.1093/jamiaopen/ooaf019</w:t>
        </w:r>
      </w:hyperlink>
      <w:r>
        <w:rPr>
          <w:color w:val="000000"/>
          <w:spacing w:val="2"/>
          <w:bdr w:val="none" w:sz="0" w:space="0" w:color="auto" w:frame="1"/>
        </w:rPr>
        <w:t> </w:t>
      </w:r>
    </w:p>
    <w:p w:rsidR="005D5FDC" w:rsidRPr="00A4611C" w:rsidRDefault="00A4611C" w:rsidP="00A4611C">
      <w:pPr>
        <w:pStyle w:val="NormalWeb"/>
        <w:spacing w:before="0" w:beforeAutospacing="0" w:after="0" w:afterAutospacing="0" w:line="360" w:lineRule="atLeast"/>
        <w:ind w:left="720" w:hanging="720"/>
        <w:textAlignment w:val="baseline"/>
        <w:rPr>
          <w:rFonts w:ascii="Open Sans" w:hAnsi="Open Sans" w:cs="Open Sans"/>
          <w:color w:val="000000"/>
          <w:spacing w:val="2"/>
          <w:sz w:val="21"/>
          <w:szCs w:val="21"/>
        </w:rPr>
      </w:pPr>
      <w:proofErr w:type="spellStart"/>
      <w:r>
        <w:rPr>
          <w:color w:val="000000"/>
          <w:spacing w:val="2"/>
          <w:bdr w:val="none" w:sz="0" w:space="0" w:color="auto" w:frame="1"/>
        </w:rPr>
        <w:t>Scierka</w:t>
      </w:r>
      <w:proofErr w:type="spellEnd"/>
      <w:r>
        <w:rPr>
          <w:color w:val="000000"/>
          <w:spacing w:val="2"/>
          <w:bdr w:val="none" w:sz="0" w:space="0" w:color="auto" w:frame="1"/>
        </w:rPr>
        <w:t>, L., Mena-Hurtado, C., </w:t>
      </w:r>
      <w:proofErr w:type="spellStart"/>
      <w:r>
        <w:rPr>
          <w:color w:val="000000"/>
          <w:spacing w:val="2"/>
          <w:bdr w:val="none" w:sz="0" w:space="0" w:color="auto" w:frame="1"/>
        </w:rPr>
        <w:t>Shishehbor</w:t>
      </w:r>
      <w:proofErr w:type="spellEnd"/>
      <w:r>
        <w:rPr>
          <w:color w:val="000000"/>
          <w:spacing w:val="2"/>
          <w:bdr w:val="none" w:sz="0" w:space="0" w:color="auto" w:frame="1"/>
        </w:rPr>
        <w:t xml:space="preserve">, M. </w:t>
      </w:r>
      <w:proofErr w:type="spellStart"/>
      <w:r>
        <w:rPr>
          <w:color w:val="000000"/>
          <w:spacing w:val="2"/>
          <w:bdr w:val="none" w:sz="0" w:space="0" w:color="auto" w:frame="1"/>
        </w:rPr>
        <w:t>Spertus</w:t>
      </w:r>
      <w:proofErr w:type="spellEnd"/>
      <w:r>
        <w:rPr>
          <w:color w:val="000000"/>
          <w:spacing w:val="2"/>
          <w:bdr w:val="none" w:sz="0" w:space="0" w:color="auto" w:frame="1"/>
        </w:rPr>
        <w:t>, J., Nagpal, S., </w:t>
      </w:r>
      <w:proofErr w:type="spellStart"/>
      <w:r>
        <w:rPr>
          <w:color w:val="000000"/>
          <w:spacing w:val="2"/>
          <w:bdr w:val="none" w:sz="0" w:space="0" w:color="auto" w:frame="1"/>
        </w:rPr>
        <w:t>Babrowski</w:t>
      </w:r>
      <w:proofErr w:type="spellEnd"/>
      <w:r>
        <w:rPr>
          <w:color w:val="000000"/>
          <w:spacing w:val="2"/>
          <w:bdr w:val="none" w:sz="0" w:space="0" w:color="auto" w:frame="1"/>
        </w:rPr>
        <w:t xml:space="preserve">, T., C. </w:t>
      </w:r>
      <w:proofErr w:type="spellStart"/>
      <w:r>
        <w:rPr>
          <w:color w:val="000000"/>
          <w:spacing w:val="2"/>
          <w:bdr w:val="none" w:sz="0" w:space="0" w:color="auto" w:frame="1"/>
        </w:rPr>
        <w:t>Bunte</w:t>
      </w:r>
      <w:proofErr w:type="spellEnd"/>
      <w:r>
        <w:rPr>
          <w:color w:val="000000"/>
          <w:spacing w:val="2"/>
          <w:bdr w:val="none" w:sz="0" w:space="0" w:color="auto" w:frame="1"/>
        </w:rPr>
        <w:t xml:space="preserve">, M., </w:t>
      </w:r>
      <w:proofErr w:type="spellStart"/>
      <w:r>
        <w:rPr>
          <w:color w:val="000000"/>
          <w:spacing w:val="2"/>
          <w:bdr w:val="none" w:sz="0" w:space="0" w:color="auto" w:frame="1"/>
        </w:rPr>
        <w:t>Politano</w:t>
      </w:r>
      <w:proofErr w:type="spellEnd"/>
      <w:r>
        <w:rPr>
          <w:color w:val="000000"/>
          <w:spacing w:val="2"/>
          <w:bdr w:val="none" w:sz="0" w:space="0" w:color="auto" w:frame="1"/>
        </w:rPr>
        <w:t>, A., Humphries, M., Chung, J., Kirksey, J., Alabi, O., </w:t>
      </w:r>
      <w:proofErr w:type="spellStart"/>
      <w:r>
        <w:rPr>
          <w:color w:val="000000"/>
          <w:spacing w:val="2"/>
          <w:bdr w:val="none" w:sz="0" w:space="0" w:color="auto" w:frame="1"/>
        </w:rPr>
        <w:t>Soukas</w:t>
      </w:r>
      <w:proofErr w:type="spellEnd"/>
      <w:r>
        <w:rPr>
          <w:color w:val="000000"/>
          <w:spacing w:val="2"/>
          <w:bdr w:val="none" w:sz="0" w:space="0" w:color="auto" w:frame="1"/>
        </w:rPr>
        <w:t>, P., Parikh, S., </w:t>
      </w:r>
      <w:proofErr w:type="spellStart"/>
      <w:r>
        <w:rPr>
          <w:color w:val="000000"/>
          <w:spacing w:val="2"/>
          <w:bdr w:val="none" w:sz="0" w:space="0" w:color="auto" w:frame="1"/>
        </w:rPr>
        <w:t>Faizer</w:t>
      </w:r>
      <w:proofErr w:type="spellEnd"/>
      <w:r>
        <w:rPr>
          <w:color w:val="000000"/>
          <w:spacing w:val="2"/>
          <w:bdr w:val="none" w:sz="0" w:space="0" w:color="auto" w:frame="1"/>
        </w:rPr>
        <w:t>, R., </w:t>
      </w:r>
      <w:proofErr w:type="spellStart"/>
      <w:r>
        <w:rPr>
          <w:color w:val="000000"/>
          <w:spacing w:val="2"/>
          <w:bdr w:val="none" w:sz="0" w:space="0" w:color="auto" w:frame="1"/>
        </w:rPr>
        <w:t>Fitridge</w:t>
      </w:r>
      <w:proofErr w:type="spellEnd"/>
      <w:r>
        <w:rPr>
          <w:color w:val="000000"/>
          <w:spacing w:val="2"/>
          <w:bdr w:val="none" w:sz="0" w:space="0" w:color="auto" w:frame="1"/>
        </w:rPr>
        <w:t xml:space="preserve">, R., </w:t>
      </w:r>
      <w:proofErr w:type="spellStart"/>
      <w:r>
        <w:rPr>
          <w:color w:val="000000"/>
          <w:spacing w:val="2"/>
          <w:bdr w:val="none" w:sz="0" w:space="0" w:color="auto" w:frame="1"/>
        </w:rPr>
        <w:t>Provance</w:t>
      </w:r>
      <w:proofErr w:type="spellEnd"/>
      <w:r>
        <w:rPr>
          <w:color w:val="000000"/>
          <w:spacing w:val="2"/>
          <w:bdr w:val="none" w:sz="0" w:space="0" w:color="auto" w:frame="1"/>
        </w:rPr>
        <w:t xml:space="preserve">, J., Romain, G., McMillan, N., Stone, N., Scott, N., Fuss, C., Pacheco, C., </w:t>
      </w:r>
      <w:proofErr w:type="spellStart"/>
      <w:r>
        <w:rPr>
          <w:color w:val="000000"/>
          <w:spacing w:val="2"/>
          <w:bdr w:val="none" w:sz="0" w:space="0" w:color="auto" w:frame="1"/>
        </w:rPr>
        <w:t>Gosch</w:t>
      </w:r>
      <w:proofErr w:type="spellEnd"/>
      <w:r>
        <w:rPr>
          <w:color w:val="000000"/>
          <w:spacing w:val="2"/>
          <w:bdr w:val="none" w:sz="0" w:space="0" w:color="auto" w:frame="1"/>
        </w:rPr>
        <w:t>, K., Harper-Brooks, A., </w:t>
      </w:r>
      <w:proofErr w:type="spellStart"/>
      <w:r>
        <w:rPr>
          <w:color w:val="000000"/>
          <w:spacing w:val="2"/>
          <w:bdr w:val="none" w:sz="0" w:space="0" w:color="auto" w:frame="1"/>
        </w:rPr>
        <w:t>Smolderen</w:t>
      </w:r>
      <w:proofErr w:type="spellEnd"/>
      <w:r>
        <w:rPr>
          <w:color w:val="000000"/>
          <w:spacing w:val="2"/>
          <w:bdr w:val="none" w:sz="0" w:space="0" w:color="auto" w:frame="1"/>
        </w:rPr>
        <w:t>, K., (2022). The shifting care and outcomes for patients with endangered limbs – Critical limb ischemia (SCOPE-CLI) registry overview of study design and rationale, IJC Heart &amp; Vasculature, Volume 39, 2022,100971, ISSN 2352-9067, </w:t>
      </w:r>
      <w:hyperlink r:id="rId7" w:tgtFrame="_blank" w:history="1">
        <w:r>
          <w:rPr>
            <w:rStyle w:val="Hyperlink"/>
            <w:color w:val="467886"/>
            <w:spacing w:val="2"/>
            <w:bdr w:val="none" w:sz="0" w:space="0" w:color="auto" w:frame="1"/>
          </w:rPr>
          <w:t>https://doi.org/10.1016/j.ijcha.2022.100971</w:t>
        </w:r>
      </w:hyperlink>
      <w:r>
        <w:rPr>
          <w:color w:val="000000"/>
          <w:spacing w:val="2"/>
          <w:bdr w:val="none" w:sz="0" w:space="0" w:color="auto" w:frame="1"/>
        </w:rPr>
        <w:t>. </w:t>
      </w:r>
    </w:p>
    <w:sectPr w:rsidR="005D5FDC" w:rsidRPr="00A46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5F"/>
    <w:rsid w:val="003A4922"/>
    <w:rsid w:val="00566D18"/>
    <w:rsid w:val="005D5FDC"/>
    <w:rsid w:val="006451FF"/>
    <w:rsid w:val="0087675F"/>
    <w:rsid w:val="00A4611C"/>
    <w:rsid w:val="00B72657"/>
    <w:rsid w:val="00C65663"/>
    <w:rsid w:val="00EF2AE0"/>
    <w:rsid w:val="00FC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1AA6"/>
  <w15:chartTrackingRefBased/>
  <w15:docId w15:val="{4D043032-B9FF-5642-B8F2-CF09529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75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7675F"/>
    <w:rPr>
      <w:i/>
      <w:iCs/>
    </w:rPr>
  </w:style>
  <w:style w:type="character" w:styleId="Hyperlink">
    <w:name w:val="Hyperlink"/>
    <w:basedOn w:val="DefaultParagraphFont"/>
    <w:uiPriority w:val="99"/>
    <w:semiHidden/>
    <w:unhideWhenUsed/>
    <w:rsid w:val="005D5FDC"/>
    <w:rPr>
      <w:color w:val="0000FF"/>
      <w:u w:val="single"/>
    </w:rPr>
  </w:style>
  <w:style w:type="character" w:customStyle="1" w:styleId="flex">
    <w:name w:val="flex"/>
    <w:basedOn w:val="DefaultParagraphFont"/>
    <w:rsid w:val="005D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70951">
      <w:bodyDiv w:val="1"/>
      <w:marLeft w:val="0"/>
      <w:marRight w:val="0"/>
      <w:marTop w:val="0"/>
      <w:marBottom w:val="0"/>
      <w:divBdr>
        <w:top w:val="none" w:sz="0" w:space="0" w:color="auto"/>
        <w:left w:val="none" w:sz="0" w:space="0" w:color="auto"/>
        <w:bottom w:val="none" w:sz="0" w:space="0" w:color="auto"/>
        <w:right w:val="none" w:sz="0" w:space="0" w:color="auto"/>
      </w:divBdr>
      <w:divsChild>
        <w:div w:id="2045978237">
          <w:marLeft w:val="0"/>
          <w:marRight w:val="0"/>
          <w:marTop w:val="0"/>
          <w:marBottom w:val="0"/>
          <w:divBdr>
            <w:top w:val="none" w:sz="0" w:space="0" w:color="auto"/>
            <w:left w:val="none" w:sz="0" w:space="0" w:color="auto"/>
            <w:bottom w:val="none" w:sz="0" w:space="0" w:color="auto"/>
            <w:right w:val="none" w:sz="0" w:space="0" w:color="auto"/>
          </w:divBdr>
          <w:divsChild>
            <w:div w:id="1400441796">
              <w:marLeft w:val="0"/>
              <w:marRight w:val="0"/>
              <w:marTop w:val="0"/>
              <w:marBottom w:val="0"/>
              <w:divBdr>
                <w:top w:val="none" w:sz="0" w:space="0" w:color="auto"/>
                <w:left w:val="none" w:sz="0" w:space="0" w:color="auto"/>
                <w:bottom w:val="none" w:sz="0" w:space="0" w:color="auto"/>
                <w:right w:val="none" w:sz="0" w:space="0" w:color="auto"/>
              </w:divBdr>
              <w:divsChild>
                <w:div w:id="1218738106">
                  <w:marLeft w:val="0"/>
                  <w:marRight w:val="0"/>
                  <w:marTop w:val="0"/>
                  <w:marBottom w:val="0"/>
                  <w:divBdr>
                    <w:top w:val="none" w:sz="0" w:space="0" w:color="auto"/>
                    <w:left w:val="none" w:sz="0" w:space="0" w:color="auto"/>
                    <w:bottom w:val="none" w:sz="0" w:space="0" w:color="auto"/>
                    <w:right w:val="none" w:sz="0" w:space="0" w:color="auto"/>
                  </w:divBdr>
                  <w:divsChild>
                    <w:div w:id="2091926988">
                      <w:marLeft w:val="0"/>
                      <w:marRight w:val="0"/>
                      <w:marTop w:val="0"/>
                      <w:marBottom w:val="0"/>
                      <w:divBdr>
                        <w:top w:val="none" w:sz="0" w:space="0" w:color="auto"/>
                        <w:left w:val="none" w:sz="0" w:space="0" w:color="auto"/>
                        <w:bottom w:val="none" w:sz="0" w:space="0" w:color="auto"/>
                        <w:right w:val="none" w:sz="0" w:space="0" w:color="auto"/>
                      </w:divBdr>
                      <w:divsChild>
                        <w:div w:id="1266696420">
                          <w:marLeft w:val="0"/>
                          <w:marRight w:val="0"/>
                          <w:marTop w:val="0"/>
                          <w:marBottom w:val="0"/>
                          <w:divBdr>
                            <w:top w:val="none" w:sz="0" w:space="0" w:color="auto"/>
                            <w:left w:val="none" w:sz="0" w:space="0" w:color="auto"/>
                            <w:bottom w:val="none" w:sz="0" w:space="0" w:color="auto"/>
                            <w:right w:val="none" w:sz="0" w:space="0" w:color="auto"/>
                          </w:divBdr>
                          <w:divsChild>
                            <w:div w:id="1326201118">
                              <w:marLeft w:val="0"/>
                              <w:marRight w:val="0"/>
                              <w:marTop w:val="0"/>
                              <w:marBottom w:val="0"/>
                              <w:divBdr>
                                <w:top w:val="none" w:sz="0" w:space="0" w:color="auto"/>
                                <w:left w:val="none" w:sz="0" w:space="0" w:color="auto"/>
                                <w:bottom w:val="none" w:sz="0" w:space="0" w:color="auto"/>
                                <w:right w:val="none" w:sz="0" w:space="0" w:color="auto"/>
                              </w:divBdr>
                            </w:div>
                          </w:divsChild>
                        </w:div>
                        <w:div w:id="4248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39339">
      <w:bodyDiv w:val="1"/>
      <w:marLeft w:val="0"/>
      <w:marRight w:val="0"/>
      <w:marTop w:val="0"/>
      <w:marBottom w:val="0"/>
      <w:divBdr>
        <w:top w:val="none" w:sz="0" w:space="0" w:color="auto"/>
        <w:left w:val="none" w:sz="0" w:space="0" w:color="auto"/>
        <w:bottom w:val="none" w:sz="0" w:space="0" w:color="auto"/>
        <w:right w:val="none" w:sz="0" w:space="0" w:color="auto"/>
      </w:divBdr>
    </w:div>
    <w:div w:id="1287082523">
      <w:bodyDiv w:val="1"/>
      <w:marLeft w:val="0"/>
      <w:marRight w:val="0"/>
      <w:marTop w:val="0"/>
      <w:marBottom w:val="0"/>
      <w:divBdr>
        <w:top w:val="none" w:sz="0" w:space="0" w:color="auto"/>
        <w:left w:val="none" w:sz="0" w:space="0" w:color="auto"/>
        <w:bottom w:val="none" w:sz="0" w:space="0" w:color="auto"/>
        <w:right w:val="none" w:sz="0" w:space="0" w:color="auto"/>
      </w:divBdr>
    </w:div>
    <w:div w:id="1330671030">
      <w:bodyDiv w:val="1"/>
      <w:marLeft w:val="0"/>
      <w:marRight w:val="0"/>
      <w:marTop w:val="0"/>
      <w:marBottom w:val="0"/>
      <w:divBdr>
        <w:top w:val="none" w:sz="0" w:space="0" w:color="auto"/>
        <w:left w:val="none" w:sz="0" w:space="0" w:color="auto"/>
        <w:bottom w:val="none" w:sz="0" w:space="0" w:color="auto"/>
        <w:right w:val="none" w:sz="0" w:space="0" w:color="auto"/>
      </w:divBdr>
    </w:div>
    <w:div w:id="19407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ijcha.2022.1009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jamiaopen/ooaf019" TargetMode="External"/><Relationship Id="rId5" Type="http://schemas.openxmlformats.org/officeDocument/2006/relationships/hyperlink" Target="https://doi.org/10.3390/informatics8010012" TargetMode="External"/><Relationship Id="rId4" Type="http://schemas.openxmlformats.org/officeDocument/2006/relationships/hyperlink" Target="https://doi.org/10.2196/2677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2026-07-16T05:57:00Z</dcterms:created>
  <dcterms:modified xsi:type="dcterms:W3CDTF">2026-07-17T18:23:00Z</dcterms:modified>
</cp:coreProperties>
</file>