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CDD18" w14:textId="77777777" w:rsidR="0024553E" w:rsidRPr="00960926" w:rsidRDefault="00960926">
      <w:pPr>
        <w:rPr>
          <w:b/>
          <w:color w:val="FF0000"/>
        </w:rPr>
      </w:pPr>
      <w:r w:rsidRPr="00960926">
        <w:rPr>
          <w:b/>
          <w:color w:val="FF0000"/>
        </w:rPr>
        <w:t>ASSESSING AND DIAGNOSING PATIENTS WITH SUBSTANCE-RELATED AND ADDICTIVE DISORDERS</w:t>
      </w:r>
    </w:p>
    <w:p w14:paraId="352AB39E" w14:textId="77777777" w:rsidR="00960926" w:rsidRDefault="00960926" w:rsidP="00960926">
      <w:pPr>
        <w:pStyle w:val="NormalWeb"/>
        <w:shd w:val="clear" w:color="auto" w:fill="FFFFFF"/>
        <w:spacing w:line="360" w:lineRule="auto"/>
        <w:jc w:val="both"/>
        <w:rPr>
          <w:rFonts w:ascii="Helvetica" w:hAnsi="Helvetica" w:cs="Helvetica"/>
          <w:color w:val="273540"/>
        </w:rPr>
      </w:pPr>
      <w:r>
        <w:rPr>
          <w:rFonts w:ascii="Helvetica" w:hAnsi="Helvetica" w:cs="Helvetica"/>
          <w:color w:val="273540"/>
        </w:rPr>
        <w:t>An important consideration when working with patients is their cultural background. Understanding an individual's culture and personal experiences provides insight into who the person is and where he or she may progress in the future. Culture helps to establish a sense of identity, as well as to set values, behaviors, and purpose for individuals within a society. Culture may also contribute to a divide between specific interpretations of cultural behavior and societal norms. What one culture may deem as appropriate another culture may find inappropriate. As a result, it is important for advanced practice nurses to remain aware of cultural considerations and interpretations of behavior for diagnosis, especially with reference to substance-related disorders. At the same time, PMHNPs must balance their professional and legal responsibilities for assessment and diagnosis with such cultural considerations and interpretations.</w:t>
      </w:r>
    </w:p>
    <w:p w14:paraId="42397C54" w14:textId="77777777" w:rsidR="00960926" w:rsidRDefault="00960926" w:rsidP="00960926">
      <w:pPr>
        <w:pStyle w:val="NormalWeb"/>
        <w:shd w:val="clear" w:color="auto" w:fill="FFFFFF"/>
        <w:spacing w:line="360" w:lineRule="auto"/>
        <w:jc w:val="both"/>
        <w:rPr>
          <w:rFonts w:ascii="Helvetica" w:hAnsi="Helvetica" w:cs="Helvetica"/>
          <w:color w:val="273540"/>
        </w:rPr>
      </w:pPr>
      <w:r>
        <w:rPr>
          <w:rFonts w:ascii="Helvetica" w:hAnsi="Helvetica" w:cs="Helvetica"/>
          <w:color w:val="273540"/>
        </w:rPr>
        <w:t>For this Assignment, you will practice assessing and diagnosing a patient in a case study who is experiencing a substance-related or addictive disorder. With this and all cases, remember to consider the patient’s cultural background.</w:t>
      </w:r>
    </w:p>
    <w:p w14:paraId="32638ABE" w14:textId="77777777" w:rsidR="00960926" w:rsidRPr="00960926" w:rsidRDefault="00960926">
      <w:pPr>
        <w:rPr>
          <w:b/>
          <w:color w:val="FF0000"/>
        </w:rPr>
      </w:pPr>
      <w:r w:rsidRPr="00960926">
        <w:rPr>
          <w:b/>
          <w:color w:val="FF0000"/>
        </w:rPr>
        <w:t>TO PREPARE:</w:t>
      </w:r>
    </w:p>
    <w:p w14:paraId="2FCE67E7"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Review this week’s Learning Resources and consider the insights they provide.</w:t>
      </w:r>
    </w:p>
    <w:p w14:paraId="1C74CA55"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Review the Comprehensive Psychiatric Evaluation template, which you will use to complete this Assignment.</w:t>
      </w:r>
    </w:p>
    <w:p w14:paraId="4782E84F"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14:paraId="0416F8D8"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Consider what history would be necessary to collect from this patient.</w:t>
      </w:r>
    </w:p>
    <w:p w14:paraId="0055174B"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Consider what interview questions you would need to ask this patient.</w:t>
      </w:r>
    </w:p>
    <w:p w14:paraId="5B6B3AC9" w14:textId="77777777" w:rsidR="00960926" w:rsidRPr="00960926" w:rsidRDefault="00960926" w:rsidP="00960926">
      <w:pPr>
        <w:numPr>
          <w:ilvl w:val="0"/>
          <w:numId w:val="1"/>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Identify at least three possible differential diagnoses for the patient.</w:t>
      </w:r>
    </w:p>
    <w:p w14:paraId="3BBB271C" w14:textId="77777777" w:rsidR="00960926" w:rsidRDefault="00960926" w:rsidP="00960926">
      <w:pPr>
        <w:spacing w:line="360" w:lineRule="auto"/>
        <w:rPr>
          <w:b/>
        </w:rPr>
      </w:pPr>
    </w:p>
    <w:p w14:paraId="15D8293A" w14:textId="77777777" w:rsidR="00960926" w:rsidRDefault="00960926" w:rsidP="00960926">
      <w:pPr>
        <w:spacing w:line="360" w:lineRule="auto"/>
        <w:rPr>
          <w:b/>
        </w:rPr>
      </w:pPr>
    </w:p>
    <w:p w14:paraId="20B2578F" w14:textId="77777777" w:rsidR="00960926" w:rsidRPr="00960926" w:rsidRDefault="00960926" w:rsidP="00960926">
      <w:pPr>
        <w:shd w:val="clear" w:color="auto" w:fill="FFFFFF"/>
        <w:spacing w:before="100" w:beforeAutospacing="1" w:after="100" w:afterAutospacing="1" w:line="360" w:lineRule="auto"/>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Complete and submit your Comprehensive Psychiatric Evaluation, including your differential diagnosis and critical-thinking process to formulate primary diagnosis.</w:t>
      </w:r>
    </w:p>
    <w:p w14:paraId="74D5D958" w14:textId="77777777" w:rsidR="00960926" w:rsidRPr="00960926" w:rsidRDefault="00960926" w:rsidP="00960926">
      <w:pPr>
        <w:shd w:val="clear" w:color="auto" w:fill="FFFFFF"/>
        <w:spacing w:before="100" w:beforeAutospacing="1" w:after="100" w:afterAutospacing="1" w:line="360" w:lineRule="auto"/>
        <w:rPr>
          <w:rFonts w:ascii="Helvetica" w:eastAsia="Times New Roman" w:hAnsi="Helvetica" w:cs="Helvetica"/>
          <w:color w:val="273540"/>
          <w:sz w:val="24"/>
          <w:szCs w:val="24"/>
        </w:rPr>
      </w:pPr>
      <w:r w:rsidRPr="00960926">
        <w:rPr>
          <w:rFonts w:ascii="Helvetica" w:eastAsia="Times New Roman" w:hAnsi="Helvetica" w:cs="Helvetica"/>
          <w:color w:val="273540"/>
          <w:sz w:val="24"/>
          <w:szCs w:val="24"/>
        </w:rPr>
        <w:t>Incorporate the following into your responses in the template:</w:t>
      </w:r>
    </w:p>
    <w:p w14:paraId="4B000159" w14:textId="77777777" w:rsidR="00960926" w:rsidRPr="00960926" w:rsidRDefault="00960926" w:rsidP="00960926">
      <w:pPr>
        <w:numPr>
          <w:ilvl w:val="0"/>
          <w:numId w:val="2"/>
        </w:numPr>
        <w:shd w:val="clear" w:color="auto" w:fill="FFFFFF"/>
        <w:spacing w:before="100" w:beforeAutospacing="1" w:after="100" w:afterAutospacing="1" w:line="360" w:lineRule="auto"/>
        <w:ind w:left="945"/>
        <w:rPr>
          <w:rFonts w:ascii="Helvetica" w:eastAsia="Times New Roman" w:hAnsi="Helvetica" w:cs="Helvetica"/>
          <w:color w:val="273540"/>
          <w:sz w:val="24"/>
          <w:szCs w:val="24"/>
        </w:rPr>
      </w:pPr>
      <w:r w:rsidRPr="00960926">
        <w:rPr>
          <w:rFonts w:ascii="Helvetica" w:eastAsia="Times New Roman" w:hAnsi="Helvetica" w:cs="Helvetica"/>
          <w:b/>
          <w:bCs/>
          <w:color w:val="273540"/>
          <w:sz w:val="24"/>
          <w:szCs w:val="24"/>
        </w:rPr>
        <w:t>Subjective: </w:t>
      </w:r>
      <w:r w:rsidRPr="00960926">
        <w:rPr>
          <w:rFonts w:ascii="Helvetica" w:eastAsia="Times New Roman" w:hAnsi="Helvetica" w:cs="Helvetica"/>
          <w:color w:val="273540"/>
          <w:sz w:val="24"/>
          <w:szCs w:val="24"/>
        </w:rPr>
        <w:t>What details did the patient provide regarding their chief complaint and symptomology to derive your differential diagnosis? What is the duration and severity of their symptoms? How are their symptoms impacting their functioning in life? </w:t>
      </w:r>
    </w:p>
    <w:p w14:paraId="5A40A140" w14:textId="77777777" w:rsidR="00960926" w:rsidRPr="00960926" w:rsidRDefault="00960926" w:rsidP="00960926">
      <w:pPr>
        <w:numPr>
          <w:ilvl w:val="0"/>
          <w:numId w:val="2"/>
        </w:numPr>
        <w:shd w:val="clear" w:color="auto" w:fill="FFFFFF"/>
        <w:spacing w:before="100" w:beforeAutospacing="1" w:after="100" w:afterAutospacing="1" w:line="360" w:lineRule="auto"/>
        <w:ind w:left="945"/>
        <w:rPr>
          <w:rFonts w:ascii="Helvetica" w:eastAsia="Times New Roman" w:hAnsi="Helvetica" w:cs="Helvetica"/>
          <w:color w:val="273540"/>
          <w:sz w:val="24"/>
          <w:szCs w:val="24"/>
        </w:rPr>
      </w:pPr>
      <w:r w:rsidRPr="00960926">
        <w:rPr>
          <w:rFonts w:ascii="Helvetica" w:eastAsia="Times New Roman" w:hAnsi="Helvetica" w:cs="Helvetica"/>
          <w:b/>
          <w:bCs/>
          <w:color w:val="273540"/>
          <w:sz w:val="24"/>
          <w:szCs w:val="24"/>
        </w:rPr>
        <w:t>Objective: </w:t>
      </w:r>
      <w:r w:rsidRPr="00960926">
        <w:rPr>
          <w:rFonts w:ascii="Helvetica" w:eastAsia="Times New Roman" w:hAnsi="Helvetica" w:cs="Helvetica"/>
          <w:color w:val="273540"/>
          <w:sz w:val="24"/>
          <w:szCs w:val="24"/>
        </w:rPr>
        <w:t>What observations did you make during the psychiatric assessment</w:t>
      </w:r>
      <w:proofErr w:type="gramStart"/>
      <w:r w:rsidRPr="00960926">
        <w:rPr>
          <w:rFonts w:ascii="Helvetica" w:eastAsia="Times New Roman" w:hAnsi="Helvetica" w:cs="Helvetica"/>
          <w:color w:val="273540"/>
          <w:sz w:val="24"/>
          <w:szCs w:val="24"/>
        </w:rPr>
        <w:t>? </w:t>
      </w:r>
      <w:proofErr w:type="gramEnd"/>
      <w:r w:rsidRPr="00960926">
        <w:rPr>
          <w:rFonts w:ascii="Helvetica" w:eastAsia="Times New Roman" w:hAnsi="Helvetica" w:cs="Helvetica"/>
          <w:color w:val="273540"/>
          <w:sz w:val="24"/>
          <w:szCs w:val="24"/>
        </w:rPr>
        <w:t> </w:t>
      </w:r>
    </w:p>
    <w:p w14:paraId="7C76FFFE" w14:textId="77777777" w:rsidR="00960926" w:rsidRPr="00960926" w:rsidRDefault="00960926" w:rsidP="00960926">
      <w:pPr>
        <w:numPr>
          <w:ilvl w:val="0"/>
          <w:numId w:val="2"/>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b/>
          <w:bCs/>
          <w:color w:val="273540"/>
          <w:sz w:val="24"/>
          <w:szCs w:val="24"/>
        </w:rPr>
        <w:t>Assessment:</w:t>
      </w:r>
      <w:r w:rsidRPr="00960926">
        <w:rPr>
          <w:rFonts w:ascii="Helvetica" w:eastAsia="Times New Roman" w:hAnsi="Helvetica" w:cs="Helvetica"/>
          <w:color w:val="273540"/>
          <w:sz w:val="24"/>
          <w:szCs w:val="24"/>
        </w:rPr>
        <w:t xml:space="preserve"> Discuss the patient’s mental status examination results. What were </w:t>
      </w:r>
      <w:bookmarkStart w:id="0" w:name="_GoBack"/>
      <w:bookmarkEnd w:id="0"/>
      <w:r w:rsidRPr="00960926">
        <w:rPr>
          <w:rFonts w:ascii="Helvetica" w:eastAsia="Times New Roman" w:hAnsi="Helvetica" w:cs="Helvetica"/>
          <w:color w:val="273540"/>
          <w:sz w:val="24"/>
          <w:szCs w:val="24"/>
        </w:rPr>
        <w:t>your differential diagnoses? Provide a minimum of three possible diagnoses with supporting evidence, listed in order from highest priority to lowest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p w14:paraId="7C47BB1D" w14:textId="77777777" w:rsidR="00960926" w:rsidRDefault="00960926" w:rsidP="00960926">
      <w:pPr>
        <w:numPr>
          <w:ilvl w:val="0"/>
          <w:numId w:val="2"/>
        </w:numPr>
        <w:shd w:val="clear" w:color="auto" w:fill="FFFFFF"/>
        <w:spacing w:before="100" w:beforeAutospacing="1" w:after="100" w:afterAutospacing="1" w:line="360" w:lineRule="auto"/>
        <w:ind w:left="945"/>
        <w:jc w:val="both"/>
        <w:rPr>
          <w:rFonts w:ascii="Helvetica" w:eastAsia="Times New Roman" w:hAnsi="Helvetica" w:cs="Helvetica"/>
          <w:color w:val="273540"/>
          <w:sz w:val="24"/>
          <w:szCs w:val="24"/>
        </w:rPr>
      </w:pPr>
      <w:r w:rsidRPr="00960926">
        <w:rPr>
          <w:rFonts w:ascii="Helvetica" w:eastAsia="Times New Roman" w:hAnsi="Helvetica" w:cs="Helvetica"/>
          <w:b/>
          <w:bCs/>
          <w:color w:val="273540"/>
          <w:sz w:val="24"/>
          <w:szCs w:val="24"/>
        </w:rPr>
        <w:t>Reflection notes:</w:t>
      </w:r>
      <w:r w:rsidRPr="00960926">
        <w:rPr>
          <w:rFonts w:ascii="Helvetica" w:eastAsia="Times New Roman" w:hAnsi="Helvetica" w:cs="Helvetica"/>
          <w:color w:val="273540"/>
          <w:sz w:val="24"/>
          <w:szCs w:val="24"/>
        </w:rPr>
        <w:t> What would you do differently with this client if you could conduct the session over</w:t>
      </w:r>
      <w:proofErr w:type="gramStart"/>
      <w:r w:rsidRPr="00960926">
        <w:rPr>
          <w:rFonts w:ascii="Helvetica" w:eastAsia="Times New Roman" w:hAnsi="Helvetica" w:cs="Helvetica"/>
          <w:color w:val="273540"/>
          <w:sz w:val="24"/>
          <w:szCs w:val="24"/>
        </w:rPr>
        <w:t>? </w:t>
      </w:r>
      <w:proofErr w:type="gramEnd"/>
      <w:r w:rsidRPr="00960926">
        <w:rPr>
          <w:rFonts w:ascii="Helvetica" w:eastAsia="Times New Roman" w:hAnsi="Helvetica" w:cs="Helvetica"/>
          <w:color w:val="273540"/>
          <w:sz w:val="24"/>
          <w:szCs w:val="24"/>
        </w:rPr>
        <w:t>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p w14:paraId="66E253E0" w14:textId="77777777" w:rsidR="00960926" w:rsidRPr="00960926" w:rsidRDefault="00960926" w:rsidP="00960926">
      <w:pPr>
        <w:shd w:val="clear" w:color="auto" w:fill="FFFFFF"/>
        <w:spacing w:before="100" w:beforeAutospacing="1" w:after="100" w:afterAutospacing="1" w:line="360" w:lineRule="auto"/>
        <w:jc w:val="both"/>
        <w:rPr>
          <w:rFonts w:ascii="Helvetica" w:eastAsia="Times New Roman" w:hAnsi="Helvetica" w:cs="Helvetica"/>
          <w:color w:val="273540"/>
          <w:sz w:val="24"/>
          <w:szCs w:val="24"/>
        </w:rPr>
      </w:pPr>
    </w:p>
    <w:p w14:paraId="13B89A76" w14:textId="77777777" w:rsidR="00960926" w:rsidRPr="00960926" w:rsidRDefault="00960926" w:rsidP="00960926">
      <w:pPr>
        <w:jc w:val="center"/>
        <w:rPr>
          <w:b/>
          <w:color w:val="FF0000"/>
        </w:rPr>
      </w:pPr>
      <w:r w:rsidRPr="00960926">
        <w:rPr>
          <w:b/>
          <w:color w:val="FF0000"/>
        </w:rPr>
        <w:t>REQUIRED READINGS</w:t>
      </w:r>
    </w:p>
    <w:p w14:paraId="2C0A4B6E" w14:textId="77777777" w:rsidR="00960926" w:rsidRPr="00960926" w:rsidRDefault="00960926" w:rsidP="00960926">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American Psychiatric Association. (2022). Substance related and addictive disorders. In </w:t>
      </w:r>
      <w:hyperlink r:id="rId5" w:tgtFrame="_blank" w:history="1">
        <w:r w:rsidRPr="00960926">
          <w:rPr>
            <w:rFonts w:ascii="Helvetica" w:eastAsia="Times New Roman" w:hAnsi="Helvetica" w:cs="Helvetica"/>
            <w:i/>
            <w:iCs/>
            <w:color w:val="00687F"/>
            <w:sz w:val="24"/>
            <w:szCs w:val="24"/>
            <w:u w:val="single"/>
          </w:rPr>
          <w:t>Diagnostic and statistical manual of mental disorders</w:t>
        </w:r>
        <w:r w:rsidRPr="00960926">
          <w:rPr>
            <w:rFonts w:ascii="Helvetica" w:eastAsia="Times New Roman" w:hAnsi="Helvetica" w:cs="Helvetica"/>
            <w:i/>
            <w:iCs/>
            <w:color w:val="00687F"/>
            <w:sz w:val="24"/>
            <w:szCs w:val="24"/>
            <w:u w:val="single"/>
            <w:bdr w:val="none" w:sz="0" w:space="0" w:color="auto" w:frame="1"/>
          </w:rPr>
          <w:t>Links to an external site.</w:t>
        </w:r>
      </w:hyperlink>
      <w:r w:rsidRPr="00960926">
        <w:rPr>
          <w:rFonts w:ascii="Helvetica" w:eastAsia="Times New Roman" w:hAnsi="Helvetica" w:cs="Helvetica"/>
          <w:color w:val="333333"/>
          <w:sz w:val="24"/>
          <w:szCs w:val="24"/>
        </w:rPr>
        <w:t xml:space="preserve"> (5th ed., text </w:t>
      </w:r>
      <w:r w:rsidRPr="00960926">
        <w:rPr>
          <w:rFonts w:ascii="Helvetica" w:eastAsia="Times New Roman" w:hAnsi="Helvetica" w:cs="Helvetica"/>
          <w:color w:val="333333"/>
          <w:sz w:val="24"/>
          <w:szCs w:val="24"/>
        </w:rPr>
        <w:lastRenderedPageBreak/>
        <w:t>rev.). </w:t>
      </w:r>
      <w:hyperlink r:id="rId6" w:tgtFrame="_blank" w:history="1">
        <w:r w:rsidRPr="00960926">
          <w:rPr>
            <w:rFonts w:ascii="Helvetica" w:eastAsia="Times New Roman" w:hAnsi="Helvetica" w:cs="Helvetica"/>
            <w:color w:val="1155CC"/>
            <w:sz w:val="24"/>
            <w:szCs w:val="24"/>
            <w:u w:val="single"/>
          </w:rPr>
          <w:t>https://go.openathens.net/redirector/waldenu.edu?url=</w:t>
        </w:r>
      </w:hyperlink>
      <w:r w:rsidRPr="00960926">
        <w:rPr>
          <w:rFonts w:ascii="Helvetica" w:eastAsia="Times New Roman" w:hAnsi="Helvetica" w:cs="Helvetica"/>
          <w:color w:val="333333"/>
          <w:sz w:val="24"/>
          <w:szCs w:val="24"/>
        </w:rPr>
        <w:t> </w:t>
      </w:r>
      <w:hyperlink r:id="rId7" w:tgtFrame="_blank" w:history="1">
        <w:r w:rsidRPr="00960926">
          <w:rPr>
            <w:rFonts w:ascii="Helvetica" w:eastAsia="Times New Roman" w:hAnsi="Helvetica" w:cs="Helvetica"/>
            <w:color w:val="1155CC"/>
            <w:sz w:val="24"/>
            <w:szCs w:val="24"/>
            <w:u w:val="single"/>
          </w:rPr>
          <w:t>https://dsm.psychiatryonline.org/doi/full/10.1176/appi.books.9780890425787.x16_Substance_Related_Disorders</w:t>
        </w:r>
      </w:hyperlink>
    </w:p>
    <w:p w14:paraId="21FC7508" w14:textId="77777777" w:rsidR="00960926" w:rsidRPr="00960926" w:rsidRDefault="00960926" w:rsidP="00960926">
      <w:pPr>
        <w:numPr>
          <w:ilvl w:val="0"/>
          <w:numId w:val="3"/>
        </w:numPr>
        <w:shd w:val="clear" w:color="auto" w:fill="FFFFFF"/>
        <w:spacing w:before="100" w:beforeAutospacing="1" w:after="100" w:afterAutospacing="1" w:line="240" w:lineRule="auto"/>
        <w:ind w:left="945"/>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 xml:space="preserve">Boland, R. &amp; </w:t>
      </w:r>
      <w:proofErr w:type="spellStart"/>
      <w:r w:rsidRPr="00960926">
        <w:rPr>
          <w:rFonts w:ascii="Helvetica" w:eastAsia="Times New Roman" w:hAnsi="Helvetica" w:cs="Helvetica"/>
          <w:color w:val="333333"/>
          <w:sz w:val="24"/>
          <w:szCs w:val="24"/>
        </w:rPr>
        <w:t>Verduin</w:t>
      </w:r>
      <w:proofErr w:type="spellEnd"/>
      <w:r w:rsidRPr="00960926">
        <w:rPr>
          <w:rFonts w:ascii="Helvetica" w:eastAsia="Times New Roman" w:hAnsi="Helvetica" w:cs="Helvetica"/>
          <w:color w:val="333333"/>
          <w:sz w:val="24"/>
          <w:szCs w:val="24"/>
        </w:rPr>
        <w:t>, M. L. &amp; Ruiz, P. (2022). </w:t>
      </w:r>
      <w:r w:rsidRPr="00960926">
        <w:rPr>
          <w:rFonts w:ascii="Helvetica" w:eastAsia="Times New Roman" w:hAnsi="Helvetica" w:cs="Helvetica"/>
          <w:i/>
          <w:iCs/>
          <w:color w:val="333333"/>
          <w:sz w:val="24"/>
          <w:szCs w:val="24"/>
        </w:rPr>
        <w:t xml:space="preserve">Kaplan &amp; </w:t>
      </w:r>
      <w:proofErr w:type="spellStart"/>
      <w:r w:rsidRPr="00960926">
        <w:rPr>
          <w:rFonts w:ascii="Helvetica" w:eastAsia="Times New Roman" w:hAnsi="Helvetica" w:cs="Helvetica"/>
          <w:i/>
          <w:iCs/>
          <w:color w:val="333333"/>
          <w:sz w:val="24"/>
          <w:szCs w:val="24"/>
        </w:rPr>
        <w:t>Sadock’s</w:t>
      </w:r>
      <w:proofErr w:type="spellEnd"/>
      <w:r w:rsidRPr="00960926">
        <w:rPr>
          <w:rFonts w:ascii="Helvetica" w:eastAsia="Times New Roman" w:hAnsi="Helvetica" w:cs="Helvetica"/>
          <w:i/>
          <w:iCs/>
          <w:color w:val="333333"/>
          <w:sz w:val="24"/>
          <w:szCs w:val="24"/>
        </w:rPr>
        <w:t xml:space="preserve"> synopsis of psychiatry</w:t>
      </w:r>
      <w:r w:rsidRPr="00960926">
        <w:rPr>
          <w:rFonts w:ascii="Helvetica" w:eastAsia="Times New Roman" w:hAnsi="Helvetica" w:cs="Helvetica"/>
          <w:color w:val="333333"/>
          <w:sz w:val="24"/>
          <w:szCs w:val="24"/>
        </w:rPr>
        <w:t xml:space="preserve"> (12th </w:t>
      </w:r>
      <w:proofErr w:type="gramStart"/>
      <w:r w:rsidRPr="00960926">
        <w:rPr>
          <w:rFonts w:ascii="Helvetica" w:eastAsia="Times New Roman" w:hAnsi="Helvetica" w:cs="Helvetica"/>
          <w:color w:val="333333"/>
          <w:sz w:val="24"/>
          <w:szCs w:val="24"/>
        </w:rPr>
        <w:t>ed</w:t>
      </w:r>
      <w:proofErr w:type="gramEnd"/>
      <w:r w:rsidRPr="00960926">
        <w:rPr>
          <w:rFonts w:ascii="Helvetica" w:eastAsia="Times New Roman" w:hAnsi="Helvetica" w:cs="Helvetica"/>
          <w:color w:val="333333"/>
          <w:sz w:val="24"/>
          <w:szCs w:val="24"/>
        </w:rPr>
        <w:t>.). Wolters Kluwer.</w:t>
      </w:r>
    </w:p>
    <w:p w14:paraId="6D2284FA" w14:textId="77777777" w:rsidR="00960926" w:rsidRPr="00960926" w:rsidRDefault="00960926" w:rsidP="00960926">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Chapter 4, “Substance Use and Addictive Disorders”</w:t>
      </w:r>
    </w:p>
    <w:p w14:paraId="60545930" w14:textId="77777777" w:rsidR="00960926" w:rsidRPr="00960926" w:rsidRDefault="00960926" w:rsidP="00960926">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Chapter 2 only section 2.17, “Adolescent Substance Abuse”</w:t>
      </w:r>
    </w:p>
    <w:p w14:paraId="1EEE75B5" w14:textId="77777777" w:rsidR="00960926" w:rsidRPr="00960926" w:rsidRDefault="00960926" w:rsidP="00960926">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Chapter 27 “Ethics and Professionalism”</w:t>
      </w:r>
    </w:p>
    <w:p w14:paraId="3D26707A" w14:textId="77777777" w:rsidR="00960926" w:rsidRPr="00960926" w:rsidRDefault="00960926" w:rsidP="00960926">
      <w:pPr>
        <w:numPr>
          <w:ilvl w:val="1"/>
          <w:numId w:val="3"/>
        </w:numPr>
        <w:shd w:val="clear" w:color="auto" w:fill="FFFFFF"/>
        <w:spacing w:before="100" w:beforeAutospacing="1" w:after="100" w:afterAutospacing="1" w:line="240" w:lineRule="auto"/>
        <w:ind w:left="1890"/>
        <w:rPr>
          <w:rFonts w:ascii="Helvetica" w:eastAsia="Times New Roman" w:hAnsi="Helvetica" w:cs="Helvetica"/>
          <w:color w:val="333333"/>
          <w:sz w:val="24"/>
          <w:szCs w:val="24"/>
        </w:rPr>
      </w:pPr>
      <w:r w:rsidRPr="00960926">
        <w:rPr>
          <w:rFonts w:ascii="Helvetica" w:eastAsia="Times New Roman" w:hAnsi="Helvetica" w:cs="Helvetica"/>
          <w:color w:val="333333"/>
          <w:sz w:val="24"/>
          <w:szCs w:val="24"/>
        </w:rPr>
        <w:t>Chapter 28 “Forensic and Legal Issues”</w:t>
      </w:r>
    </w:p>
    <w:p w14:paraId="06B5DC5A" w14:textId="77777777" w:rsidR="00960926" w:rsidRPr="00960926" w:rsidRDefault="00960926">
      <w:pPr>
        <w:rPr>
          <w:b/>
        </w:rPr>
      </w:pPr>
    </w:p>
    <w:sectPr w:rsidR="00960926" w:rsidRPr="00960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5BB"/>
    <w:multiLevelType w:val="multilevel"/>
    <w:tmpl w:val="237E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F3C6F"/>
    <w:multiLevelType w:val="multilevel"/>
    <w:tmpl w:val="6E84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D4D06"/>
    <w:multiLevelType w:val="multilevel"/>
    <w:tmpl w:val="3112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26"/>
    <w:rsid w:val="0024553E"/>
    <w:rsid w:val="0096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47E0"/>
  <w15:chartTrackingRefBased/>
  <w15:docId w15:val="{C9C26188-AF0F-41E2-8767-BD3A147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36002">
      <w:bodyDiv w:val="1"/>
      <w:marLeft w:val="0"/>
      <w:marRight w:val="0"/>
      <w:marTop w:val="0"/>
      <w:marBottom w:val="0"/>
      <w:divBdr>
        <w:top w:val="none" w:sz="0" w:space="0" w:color="auto"/>
        <w:left w:val="none" w:sz="0" w:space="0" w:color="auto"/>
        <w:bottom w:val="none" w:sz="0" w:space="0" w:color="auto"/>
        <w:right w:val="none" w:sz="0" w:space="0" w:color="auto"/>
      </w:divBdr>
    </w:div>
    <w:div w:id="1162547827">
      <w:bodyDiv w:val="1"/>
      <w:marLeft w:val="0"/>
      <w:marRight w:val="0"/>
      <w:marTop w:val="0"/>
      <w:marBottom w:val="0"/>
      <w:divBdr>
        <w:top w:val="none" w:sz="0" w:space="0" w:color="auto"/>
        <w:left w:val="none" w:sz="0" w:space="0" w:color="auto"/>
        <w:bottom w:val="none" w:sz="0" w:space="0" w:color="auto"/>
        <w:right w:val="none" w:sz="0" w:space="0" w:color="auto"/>
      </w:divBdr>
    </w:div>
    <w:div w:id="1347059315">
      <w:bodyDiv w:val="1"/>
      <w:marLeft w:val="0"/>
      <w:marRight w:val="0"/>
      <w:marTop w:val="0"/>
      <w:marBottom w:val="0"/>
      <w:divBdr>
        <w:top w:val="none" w:sz="0" w:space="0" w:color="auto"/>
        <w:left w:val="none" w:sz="0" w:space="0" w:color="auto"/>
        <w:bottom w:val="none" w:sz="0" w:space="0" w:color="auto"/>
        <w:right w:val="none" w:sz="0" w:space="0" w:color="auto"/>
      </w:divBdr>
    </w:div>
    <w:div w:id="19115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m.psychiatryonline.org/doi/full/10.1176/appi.books.9780890425787.x16_Substance_Related_Dis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penathens.net/redirector/waldenu.edu?url=" TargetMode="External"/><Relationship Id="rId5" Type="http://schemas.openxmlformats.org/officeDocument/2006/relationships/hyperlink" Target="https://go.openathens.net/redirector/waldenu.edu?url=https://dsm.psychiatryonline.org/doi/full/10.1176/appi.books.9780890425787.x16_Substance_Related_Disor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2026-07-17T22:38:00Z</dcterms:created>
  <dcterms:modified xsi:type="dcterms:W3CDTF">2026-07-17T22:43:00Z</dcterms:modified>
</cp:coreProperties>
</file>