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440" w:after="140"/>
      </w:pPr>
      <w:r>
        <w:rPr>
          <w:rFonts w:ascii="Calibri" w:hAnsi="Calibri"/>
          <w:b/>
          <w:color w:val="1F4D78"/>
          <w:sz w:val="50"/>
        </w:rPr>
        <w:t>Novant Health Working Draft Guide</w:t>
      </w:r>
    </w:p>
    <w:p>
      <w:pPr>
        <w:spacing w:after="360"/>
      </w:pPr>
      <w:r>
        <w:rPr>
          <w:rFonts w:ascii="Calibri" w:hAnsi="Calibri"/>
          <w:color w:val="2E74B5"/>
          <w:sz w:val="26"/>
        </w:rPr>
        <w:t>Assessment 3: Functional Areas  |  BHA-FPX3001</w:t>
      </w:r>
    </w:p>
    <w:p>
      <w:pPr>
        <w:spacing w:after="280"/>
        <w:ind w:left="259" w:right="259"/>
        <w:shd w:fill="E8EEF5"/>
      </w:pPr>
      <w:r>
        <w:rPr>
          <w:b/>
        </w:rPr>
        <w:t xml:space="preserve">Purpose: </w:t>
      </w:r>
      <w:r>
        <w:t>An approximately 80%-complete roadmap for writing the Functional Areas assignment. It follows the same reasoning as the earlier Clinical Operations and Human Resources/People and Culture writing, while leaving the final sentences and personal wording to the learner.</w:t>
      </w:r>
    </w:p>
    <w:p>
      <w:pPr>
        <w:pStyle w:val="Heading1"/>
      </w:pPr>
      <w:r>
        <w:t>1. Resource Readiness Check</w:t>
      </w:r>
    </w:p>
    <w:p>
      <w:pPr>
        <w:pStyle w:val="ListBullet"/>
        <w:keepLines/>
        <w:widowControl/>
      </w:pPr>
      <w:r>
        <w:t>The official Assessment 3 template is available and contains the full prompt.</w:t>
      </w:r>
    </w:p>
    <w:p>
      <w:pPr>
        <w:pStyle w:val="ListBullet"/>
        <w:keepLines/>
        <w:widowControl/>
      </w:pPr>
      <w:r>
        <w:t>Novant Health is confirmed as the selected healthcare organization.</w:t>
      </w:r>
    </w:p>
    <w:p>
      <w:pPr>
        <w:pStyle w:val="ListBullet"/>
        <w:keepLines/>
        <w:widowControl/>
      </w:pPr>
      <w:r>
        <w:t>The two functional areas are Clinical Operations and Human Resources/People and Culture.</w:t>
      </w:r>
    </w:p>
    <w:p>
      <w:pPr>
        <w:pStyle w:val="ListBullet"/>
        <w:keepLines/>
        <w:widowControl/>
      </w:pPr>
      <w:r>
        <w:t>Official Novant Health sources are available for safety, quality, belonging, workforce support, and organizational scale.</w:t>
      </w:r>
    </w:p>
    <w:p>
      <w:pPr>
        <w:pStyle w:val="ListBullet"/>
        <w:keepLines/>
        <w:widowControl/>
      </w:pPr>
      <w:r>
        <w:t>The American College of Healthcare Executives Code of Ethics is available for ethical principles and leadership responsibilities.</w:t>
      </w:r>
    </w:p>
    <w:p>
      <w:pPr>
        <w:pStyle w:val="ListBullet"/>
        <w:keepLines/>
        <w:widowControl/>
      </w:pPr>
      <w:r>
        <w:t>Still needed before submission: learner name, courseroom faculty name, and final submission date.</w:t>
      </w:r>
    </w:p>
    <w:p>
      <w:pPr>
        <w:pStyle w:val="ListBullet"/>
        <w:keepLines/>
        <w:widowControl/>
      </w:pPr>
      <w:r>
        <w:t>Not supplied in the template: the course's exact definition of the POETS acronym. This guide uses a clear point–evidence–explanation–example–tie-back flow; replace the labels if the courseroom defines POETS differently.</w:t>
      </w:r>
    </w:p>
    <w:p>
      <w:pPr>
        <w:pStyle w:val="Heading1"/>
      </w:pPr>
      <w:r>
        <w:t>2. Recommended Controlling Idea</w:t>
      </w:r>
    </w:p>
    <w:p>
      <w:pPr>
        <w:spacing w:after="160"/>
        <w:ind w:left="259" w:right="259"/>
        <w:shd w:fill="F5F8FB"/>
      </w:pPr>
      <w:r>
        <w:rPr>
          <w:i/>
        </w:rPr>
        <w:t>Clinical Operations and Human Resources/People and Culture are essential to Novant Health because one function converts the organization's purpose into safe, reliable patient care, while the other builds and supports the workforce required to deliver that care ethically, equitably, and consistently.</w:t>
      </w:r>
    </w:p>
    <w:p>
      <w:r>
        <w:rPr>
          <w:b/>
        </w:rPr>
        <w:t xml:space="preserve">Why this angle works: </w:t>
      </w:r>
      <w:r>
        <w:t>It answers why each function matters, creates a direct connection between patient outcomes and workforce capacity, and gives both sections room to evaluate ethical principles and critical-thinking questions instead of merely describing job duties.</w:t>
      </w:r>
    </w:p>
    <w:p>
      <w:pPr>
        <w:pStyle w:val="Heading1"/>
      </w:pPr>
      <w:r>
        <w:t>3. Source Placement Map</w:t>
      </w:r>
    </w:p>
    <w:tbl>
      <w:tblPr>
        <w:tblW w:type="auto" w:w="0"/>
        <w:jc w:val="left"/>
        <w:tblLayout w:type="fixed"/>
        <w:tblLook w:firstColumn="1" w:firstRow="1" w:lastColumn="0" w:lastRow="0" w:noHBand="0" w:noVBand="1" w:val="04A0"/>
      </w:tblPr>
      <w:tblGrid>
        <w:gridCol w:w="3120"/>
        <w:gridCol w:w="3120"/>
        <w:gridCol w:w="3120"/>
      </w:tblGrid>
      <w:tr>
        <w:trPr>
          <w:tblHeader w:val="true"/>
        </w:trPr>
        <w:tc>
          <w:tcPr>
            <w:tcW w:type="dxa" w:w="2376"/>
            <w:shd w:fill="E8EEF5"/>
            <w:tcMar>
              <w:top w:w="80" w:type="dxa"/>
              <w:start w:w="120" w:type="dxa"/>
              <w:bottom w:w="80" w:type="dxa"/>
              <w:end w:w="120" w:type="dxa"/>
            </w:tcMar>
            <w:vAlign w:val="center"/>
          </w:tcPr>
          <w:p>
            <w:r>
              <w:rPr>
                <w:b/>
                <w:color w:val="1F4D78"/>
              </w:rPr>
              <w:t>Source</w:t>
            </w:r>
          </w:p>
        </w:tc>
        <w:tc>
          <w:tcPr>
            <w:tcW w:type="dxa" w:w="4608"/>
            <w:shd w:fill="E8EEF5"/>
            <w:tcMar>
              <w:top w:w="80" w:type="dxa"/>
              <w:start w:w="120" w:type="dxa"/>
              <w:bottom w:w="80" w:type="dxa"/>
              <w:end w:w="120" w:type="dxa"/>
            </w:tcMar>
            <w:vAlign w:val="center"/>
          </w:tcPr>
          <w:p>
            <w:r>
              <w:rPr>
                <w:b/>
                <w:color w:val="1F4D78"/>
              </w:rPr>
              <w:t>Best role in the paper</w:t>
            </w:r>
          </w:p>
        </w:tc>
        <w:tc>
          <w:tcPr>
            <w:tcW w:type="dxa" w:w="2376"/>
            <w:shd w:fill="E8EEF5"/>
            <w:tcMar>
              <w:top w:w="80" w:type="dxa"/>
              <w:start w:w="120" w:type="dxa"/>
              <w:bottom w:w="80" w:type="dxa"/>
              <w:end w:w="120" w:type="dxa"/>
            </w:tcMar>
            <w:vAlign w:val="center"/>
          </w:tcPr>
          <w:p>
            <w:r>
              <w:rPr>
                <w:b/>
                <w:color w:val="1F4D78"/>
              </w:rPr>
              <w:t>Use in</w:t>
            </w:r>
          </w:p>
        </w:tc>
      </w:tr>
      <w:tr>
        <w:tc>
          <w:tcPr>
            <w:tcW w:type="dxa" w:w="2376"/>
            <w:tcMar>
              <w:top w:w="80" w:type="dxa"/>
              <w:start w:w="120" w:type="dxa"/>
              <w:bottom w:w="80" w:type="dxa"/>
              <w:end w:w="120" w:type="dxa"/>
            </w:tcMar>
            <w:vAlign w:val="center"/>
          </w:tcPr>
          <w:p>
            <w:pPr>
              <w:spacing w:after="40" w:line="264" w:lineRule="auto"/>
            </w:pPr>
            <w:r>
              <w:rPr>
                <w:sz w:val="19"/>
              </w:rPr>
              <w:t>Novant Health, n.d.-c</w:t>
            </w:r>
          </w:p>
        </w:tc>
        <w:tc>
          <w:tcPr>
            <w:tcW w:type="dxa" w:w="4608"/>
            <w:tcMar>
              <w:top w:w="80" w:type="dxa"/>
              <w:start w:w="120" w:type="dxa"/>
              <w:bottom w:w="80" w:type="dxa"/>
              <w:end w:w="120" w:type="dxa"/>
            </w:tcMar>
            <w:vAlign w:val="center"/>
          </w:tcPr>
          <w:p>
            <w:pPr>
              <w:spacing w:after="40" w:line="264" w:lineRule="auto"/>
            </w:pPr>
            <w:r>
              <w:rPr>
                <w:sz w:val="19"/>
              </w:rPr>
              <w:t>Patient safety as the foundation of care; continuous improvement; zero preventable harm; shared responsibility for safety.</w:t>
            </w:r>
          </w:p>
        </w:tc>
        <w:tc>
          <w:tcPr>
            <w:tcW w:type="dxa" w:w="2376"/>
            <w:tcMar>
              <w:top w:w="80" w:type="dxa"/>
              <w:start w:w="120" w:type="dxa"/>
              <w:bottom w:w="80" w:type="dxa"/>
              <w:end w:w="120" w:type="dxa"/>
            </w:tcMar>
            <w:vAlign w:val="center"/>
          </w:tcPr>
          <w:p>
            <w:pPr>
              <w:spacing w:after="40" w:line="264" w:lineRule="auto"/>
            </w:pPr>
            <w:r>
              <w:rPr>
                <w:sz w:val="19"/>
              </w:rPr>
              <w:t>Clinical Operations</w:t>
            </w:r>
          </w:p>
        </w:tc>
      </w:tr>
      <w:tr>
        <w:tc>
          <w:tcPr>
            <w:tcW w:type="dxa" w:w="2376"/>
            <w:tcMar>
              <w:top w:w="80" w:type="dxa"/>
              <w:start w:w="120" w:type="dxa"/>
              <w:bottom w:w="80" w:type="dxa"/>
              <w:end w:w="120" w:type="dxa"/>
            </w:tcMar>
            <w:vAlign w:val="center"/>
          </w:tcPr>
          <w:p>
            <w:pPr>
              <w:spacing w:after="40" w:line="264" w:lineRule="auto"/>
            </w:pPr>
            <w:r>
              <w:rPr>
                <w:sz w:val="19"/>
              </w:rPr>
              <w:t>ACHE, 2025</w:t>
            </w:r>
          </w:p>
        </w:tc>
        <w:tc>
          <w:tcPr>
            <w:tcW w:type="dxa" w:w="4608"/>
            <w:tcMar>
              <w:top w:w="80" w:type="dxa"/>
              <w:start w:w="120" w:type="dxa"/>
              <w:bottom w:w="80" w:type="dxa"/>
              <w:end w:w="120" w:type="dxa"/>
            </w:tcMar>
            <w:vAlign w:val="center"/>
          </w:tcPr>
          <w:p>
            <w:pPr>
              <w:spacing w:after="40" w:line="264" w:lineRule="auto"/>
            </w:pPr>
            <w:r>
              <w:rPr>
                <w:sz w:val="19"/>
              </w:rPr>
              <w:t>Honesty, integrity, respect, equity, confidentiality, competence, compliance, conflicts of interest, and ethical concern reporting.</w:t>
            </w:r>
          </w:p>
        </w:tc>
        <w:tc>
          <w:tcPr>
            <w:tcW w:type="dxa" w:w="2376"/>
            <w:tcMar>
              <w:top w:w="80" w:type="dxa"/>
              <w:start w:w="120" w:type="dxa"/>
              <w:bottom w:w="80" w:type="dxa"/>
              <w:end w:w="120" w:type="dxa"/>
            </w:tcMar>
            <w:vAlign w:val="center"/>
          </w:tcPr>
          <w:p>
            <w:pPr>
              <w:spacing w:after="40" w:line="264" w:lineRule="auto"/>
            </w:pPr>
            <w:r>
              <w:rPr>
                <w:sz w:val="19"/>
              </w:rPr>
              <w:t>Both ethical paragraphs</w:t>
            </w:r>
          </w:p>
        </w:tc>
      </w:tr>
      <w:tr>
        <w:tc>
          <w:tcPr>
            <w:tcW w:type="dxa" w:w="2376"/>
            <w:tcMar>
              <w:top w:w="80" w:type="dxa"/>
              <w:start w:w="120" w:type="dxa"/>
              <w:bottom w:w="80" w:type="dxa"/>
              <w:end w:w="120" w:type="dxa"/>
            </w:tcMar>
            <w:vAlign w:val="center"/>
          </w:tcPr>
          <w:p>
            <w:pPr>
              <w:spacing w:after="40" w:line="264" w:lineRule="auto"/>
            </w:pPr>
            <w:r>
              <w:rPr>
                <w:sz w:val="19"/>
              </w:rPr>
              <w:t>Novant Health, n.d.-b</w:t>
            </w:r>
          </w:p>
        </w:tc>
        <w:tc>
          <w:tcPr>
            <w:tcW w:type="dxa" w:w="4608"/>
            <w:tcMar>
              <w:top w:w="80" w:type="dxa"/>
              <w:start w:w="120" w:type="dxa"/>
              <w:bottom w:w="80" w:type="dxa"/>
              <w:end w:w="120" w:type="dxa"/>
            </w:tcMar>
            <w:vAlign w:val="center"/>
          </w:tcPr>
          <w:p>
            <w:pPr>
              <w:spacing w:after="40" w:line="264" w:lineRule="auto"/>
            </w:pPr>
            <w:r>
              <w:rPr>
                <w:sz w:val="19"/>
              </w:rPr>
              <w:t>Organization scale, workforce benefits, professional growth, engagement, patient care, and clinical excellence.</w:t>
            </w:r>
          </w:p>
        </w:tc>
        <w:tc>
          <w:tcPr>
            <w:tcW w:type="dxa" w:w="2376"/>
            <w:tcMar>
              <w:top w:w="80" w:type="dxa"/>
              <w:start w:w="120" w:type="dxa"/>
              <w:bottom w:w="80" w:type="dxa"/>
              <w:end w:w="120" w:type="dxa"/>
            </w:tcMar>
            <w:vAlign w:val="center"/>
          </w:tcPr>
          <w:p>
            <w:pPr>
              <w:spacing w:after="40" w:line="264" w:lineRule="auto"/>
            </w:pPr>
            <w:r>
              <w:rPr>
                <w:sz w:val="19"/>
              </w:rPr>
              <w:t>HR/People &amp; Culture</w:t>
            </w:r>
          </w:p>
        </w:tc>
      </w:tr>
      <w:tr>
        <w:tc>
          <w:tcPr>
            <w:tcW w:type="dxa" w:w="2376"/>
            <w:tcMar>
              <w:top w:w="80" w:type="dxa"/>
              <w:start w:w="120" w:type="dxa"/>
              <w:bottom w:w="80" w:type="dxa"/>
              <w:end w:w="120" w:type="dxa"/>
            </w:tcMar>
            <w:vAlign w:val="center"/>
          </w:tcPr>
          <w:p>
            <w:pPr>
              <w:spacing w:after="40" w:line="264" w:lineRule="auto"/>
            </w:pPr>
            <w:r>
              <w:rPr>
                <w:sz w:val="19"/>
              </w:rPr>
              <w:t>Novant Health, n.d.-a</w:t>
            </w:r>
          </w:p>
        </w:tc>
        <w:tc>
          <w:tcPr>
            <w:tcW w:type="dxa" w:w="4608"/>
            <w:tcMar>
              <w:top w:w="80" w:type="dxa"/>
              <w:start w:w="120" w:type="dxa"/>
              <w:bottom w:w="80" w:type="dxa"/>
              <w:end w:w="120" w:type="dxa"/>
            </w:tcMar>
            <w:vAlign w:val="center"/>
          </w:tcPr>
          <w:p>
            <w:pPr>
              <w:spacing w:after="40" w:line="264" w:lineRule="auto"/>
            </w:pPr>
            <w:r>
              <w:rPr>
                <w:sz w:val="19"/>
              </w:rPr>
              <w:t>Belonging, nondiscrimination, health equity, and the value of team members' different perspectives and experiences.</w:t>
            </w:r>
          </w:p>
        </w:tc>
        <w:tc>
          <w:tcPr>
            <w:tcW w:type="dxa" w:w="2376"/>
            <w:tcMar>
              <w:top w:w="80" w:type="dxa"/>
              <w:start w:w="120" w:type="dxa"/>
              <w:bottom w:w="80" w:type="dxa"/>
              <w:end w:w="120" w:type="dxa"/>
            </w:tcMar>
            <w:vAlign w:val="center"/>
          </w:tcPr>
          <w:p>
            <w:pPr>
              <w:spacing w:after="40" w:line="264" w:lineRule="auto"/>
            </w:pPr>
            <w:r>
              <w:rPr>
                <w:sz w:val="19"/>
              </w:rPr>
              <w:t>HR ethics paragraph</w:t>
            </w:r>
          </w:p>
        </w:tc>
      </w:tr>
    </w:tbl>
    <w:p>
      <w:pPr>
        <w:pStyle w:val="Heading1"/>
      </w:pPr>
      <w:r>
        <w:t>4. Page and Word Budget</w:t>
      </w:r>
    </w:p>
    <w:p>
      <w:pPr>
        <w:pStyle w:val="ListBullet"/>
        <w:keepLines/>
        <w:widowControl/>
      </w:pPr>
      <w:r>
        <w:t>Title page: 1 page using the template placeholders.</w:t>
      </w:r>
    </w:p>
    <w:p>
      <w:pPr>
        <w:pStyle w:val="ListBullet"/>
        <w:keepLines/>
        <w:widowControl/>
      </w:pPr>
      <w:r>
        <w:t>First Key Functional Area: 2 paragraphs, approximately 320–420 words total.</w:t>
      </w:r>
    </w:p>
    <w:p>
      <w:pPr>
        <w:pStyle w:val="ListBullet"/>
        <w:keepLines/>
        <w:widowControl/>
      </w:pPr>
      <w:r>
        <w:t>Second Key Functional Area: 2 paragraphs, approximately 320–420 words total.</w:t>
      </w:r>
    </w:p>
    <w:p>
      <w:pPr>
        <w:pStyle w:val="ListBullet"/>
        <w:keepLines/>
        <w:widowControl/>
      </w:pPr>
      <w:r>
        <w:t>References: separate page.</w:t>
      </w:r>
    </w:p>
    <w:p>
      <w:pPr>
        <w:pStyle w:val="ListBullet"/>
        <w:keepLines/>
        <w:widowControl/>
      </w:pPr>
      <w:r>
        <w:t>Likely finished length: 2–3 pages of body writing, or approximately 4–5 pages including the title and references. The template does not state a fixed page count.</w:t>
      </w:r>
    </w:p>
    <w:p>
      <w:r>
        <w:br w:type="page"/>
      </w:r>
    </w:p>
    <w:p>
      <w:pPr>
        <w:pStyle w:val="Heading1"/>
      </w:pPr>
      <w:r>
        <w:t>5. Paragraph-by-Paragraph Blueprint</w:t>
      </w:r>
    </w:p>
    <w:p>
      <w:r>
        <w:rPr>
          <w:b/>
        </w:rPr>
        <w:t xml:space="preserve">Recommended structure: </w:t>
      </w:r>
      <w:r>
        <w:t>Use two paragraphs under each template heading. The first paragraph evaluates why the function is essential; the second applies ethics and critical thinking to its daily work. An additional introduction or conclusion is unnecessary unless the instructor requires one.</w:t>
      </w:r>
    </w:p>
    <w:p>
      <w:pPr>
        <w:pStyle w:val="Heading1"/>
      </w:pPr>
      <w:r>
        <w:t>First Key Functional Area: Clinical Operations</w:t>
      </w:r>
    </w:p>
    <w:p>
      <w:pPr>
        <w:pStyle w:val="Heading2"/>
        <w:pageBreakBefore w:val="0"/>
      </w:pPr>
      <w:r>
        <w:t>Paragraph 1: Why Clinical Operations Is Essential</w:t>
      </w:r>
    </w:p>
    <w:p>
      <w:pPr>
        <w:keepLines/>
        <w:widowControl/>
        <w:spacing w:after="100"/>
      </w:pPr>
      <w:r>
        <w:rPr>
          <w:b/>
          <w:color w:val="1F4D78"/>
        </w:rPr>
        <w:t xml:space="preserve">Job: </w:t>
      </w:r>
      <w:r>
        <w:t>Identify Clinical Operations as a core functional area and evaluate how it contributes to Novant Health's success.</w:t>
      </w:r>
    </w:p>
    <w:p>
      <w:pPr>
        <w:keepLines/>
        <w:widowControl/>
        <w:spacing w:after="100"/>
      </w:pPr>
      <w:r>
        <w:rPr>
          <w:b/>
          <w:color w:val="1F4D78"/>
        </w:rPr>
        <w:t xml:space="preserve">Cover: </w:t>
      </w:r>
      <w:r>
        <w:t>Define the function through its work—coordinating physicians, nurses, support staff, patient flow, care processes, access, safety, and quality. Explain the cause-and-effect relationship between reliable operations and patient outcomes.</w:t>
      </w:r>
    </w:p>
    <w:p>
      <w:pPr>
        <w:keepLines/>
        <w:widowControl/>
        <w:spacing w:after="100"/>
      </w:pPr>
      <w:r>
        <w:rPr>
          <w:b/>
          <w:color w:val="1F4D78"/>
        </w:rPr>
        <w:t xml:space="preserve">Use/source(s): </w:t>
      </w:r>
      <w:r>
        <w:t>Novant Health's Patient Safety &amp; Quality Healthcare page (Novant Health, n.d.-c); optionally the careers page for organizational scale (Novant Health, n.d.-b).</w:t>
      </w:r>
    </w:p>
    <w:p>
      <w:pPr>
        <w:keepLines/>
        <w:widowControl/>
        <w:spacing w:after="100"/>
      </w:pPr>
      <w:r>
        <w:rPr>
          <w:b/>
          <w:color w:val="1F4D78"/>
        </w:rPr>
        <w:t xml:space="preserve">POETS-ready flow: </w:t>
      </w:r>
      <w:r>
        <w:t>Point: name Clinical Operations and make an evaluative claim. Evidence: paraphrase Novant Health's safety and quality commitments. Explanation: show why standardized workflows, staffing coordination, communication, and performance monitoring affect outcomes. Example: apply the claim to a realistic clinical situation. Tie-back: connect reliable operations to organizational success.</w:t>
      </w:r>
    </w:p>
    <w:p>
      <w:pPr>
        <w:spacing w:before="60" w:after="140"/>
        <w:ind w:left="259" w:right="173"/>
        <w:keepLines/>
        <w:widowControl/>
        <w:shd w:fill="F5F8FB"/>
      </w:pPr>
      <w:r>
        <w:rPr>
          <w:b/>
          <w:color w:val="1F4D78"/>
        </w:rPr>
        <w:t xml:space="preserve">Draft-ready idea: </w:t>
      </w:r>
      <w:r>
        <w:t>Start with a fragment such as, “Clinical Operations is essential to Novant Health because it translates the organization's commitment to remarkable care into the daily coordination of…” Then develop: “Novant Health describes patient safety as the foundation of care and emphasizes continuous improvement…” (Novant Health, n.d.-c). Explain that the source supports—not replaces—your evaluation. Close by linking efficient, safe operations to patient trust and organizational performance.</w:t>
      </w:r>
    </w:p>
    <w:p>
      <w:pPr>
        <w:keepLines/>
        <w:widowControl/>
        <w:spacing w:after="100"/>
      </w:pPr>
      <w:r>
        <w:rPr>
          <w:b/>
          <w:color w:val="1F4D78"/>
        </w:rPr>
        <w:t xml:space="preserve">Must include: </w:t>
      </w:r>
      <w:r>
        <w:t>At least three operational responsibilities; a direct explanation of why the function matters; an organization-specific citation; and a final sentence connecting the function to patient outcomes, reputation, cost, or mission achievement.</w:t>
      </w:r>
    </w:p>
    <w:p>
      <w:pPr>
        <w:keepLines/>
        <w:widowControl/>
        <w:spacing w:after="100"/>
      </w:pPr>
      <w:r>
        <w:rPr>
          <w:b/>
          <w:color w:val="1F4D78"/>
        </w:rPr>
        <w:t xml:space="preserve">Example to add: </w:t>
      </w:r>
      <w:r>
        <w:t>A breakdown in handoff communication between an emergency department and an inpatient unit could delay treatment. Clinical Operations would standardize the handoff process, clarify responsibility, and monitor whether delays or errors decrease.</w:t>
      </w:r>
    </w:p>
    <w:p>
      <w:pPr>
        <w:keepLines/>
        <w:widowControl/>
        <w:spacing w:after="100"/>
      </w:pPr>
      <w:r>
        <w:rPr>
          <w:b/>
          <w:color w:val="1F4D78"/>
        </w:rPr>
        <w:t xml:space="preserve">Citation reminder: </w:t>
      </w:r>
      <w:r>
        <w:t>Place (Novant Health, n.d.-c) immediately after the paraphrase of Novant Health's safety and quality commitments. Do not cite ordinary analysis that is clearly your own reasoning.</w:t>
      </w:r>
    </w:p>
    <w:p>
      <w:pPr>
        <w:keepLines/>
        <w:widowControl/>
        <w:spacing w:after="100"/>
      </w:pPr>
      <w:r>
        <w:rPr>
          <w:b/>
          <w:color w:val="1F4D78"/>
        </w:rPr>
        <w:t xml:space="preserve">Rubric target: </w:t>
      </w:r>
      <w:r>
        <w:t>Evaluates why the first functional area is important to the success of the selected organization.</w:t>
      </w:r>
    </w:p>
    <w:p>
      <w:pPr>
        <w:pStyle w:val="Heading2"/>
        <w:pageBreakBefore w:val="0"/>
      </w:pPr>
      <w:r>
        <w:t>Paragraph 2: Ethics and Critical Thinking in Clinical Operations</w:t>
      </w:r>
    </w:p>
    <w:p>
      <w:pPr>
        <w:keepLines/>
        <w:widowControl/>
        <w:spacing w:after="100"/>
      </w:pPr>
      <w:r>
        <w:rPr>
          <w:b/>
          <w:color w:val="1F4D78"/>
        </w:rPr>
        <w:t xml:space="preserve">Job: </w:t>
      </w:r>
      <w:r>
        <w:t>Evaluate the ethical principles Clinical Operations must apply and identify critical-thinking questions that support safe, successful decisions.</w:t>
      </w:r>
    </w:p>
    <w:p>
      <w:pPr>
        <w:keepLines/>
        <w:widowControl/>
        <w:spacing w:after="100"/>
      </w:pPr>
      <w:r>
        <w:rPr>
          <w:b/>
          <w:color w:val="1F4D78"/>
        </w:rPr>
        <w:t xml:space="preserve">Cover: </w:t>
      </w:r>
      <w:r>
        <w:t>Discuss nonmaleficence, beneficence, patient autonomy, justice, confidentiality, accountability, competence, and transparency. Then turn those principles into decision questions about safety, access, outcomes, staffing, and unintended consequences.</w:t>
      </w:r>
    </w:p>
    <w:p>
      <w:pPr>
        <w:keepLines/>
        <w:widowControl/>
        <w:spacing w:after="100"/>
      </w:pPr>
      <w:r>
        <w:rPr>
          <w:b/>
          <w:color w:val="1F4D78"/>
        </w:rPr>
        <w:t xml:space="preserve">Use/source(s): </w:t>
      </w:r>
      <w:r>
        <w:t>ACHE Code of Ethics (American College of Healthcare Executives, 2025) and Novant Health's safety and quality page (Novant Health, n.d.-c).</w:t>
      </w:r>
    </w:p>
    <w:p>
      <w:pPr>
        <w:keepLines/>
        <w:widowControl/>
        <w:spacing w:after="100"/>
      </w:pPr>
      <w:r>
        <w:rPr>
          <w:b/>
          <w:color w:val="1F4D78"/>
        </w:rPr>
        <w:t xml:space="preserve">POETS-ready flow: </w:t>
      </w:r>
      <w:r>
        <w:t>Point: explain that operational decisions are also ethical decisions. Evidence: use ACHE for professional responsibilities and Novant Health for safety expectations. Explanation: connect each principle to daily operations. Questions: pose two or three questions leaders should answer before acting. Tie-back: show how ethical critical thinking protects patients and organizational credibility.</w:t>
      </w:r>
    </w:p>
    <w:p>
      <w:pPr>
        <w:spacing w:before="60" w:after="140"/>
        <w:ind w:left="259" w:right="173"/>
        <w:keepLines/>
        <w:widowControl/>
        <w:shd w:fill="F5F8FB"/>
      </w:pPr>
      <w:r>
        <w:rPr>
          <w:b/>
          <w:color w:val="1F4D78"/>
        </w:rPr>
        <w:t xml:space="preserve">Draft-ready idea: </w:t>
      </w:r>
      <w:r>
        <w:t>Possible frame: “Because operational decisions affect both access and clinical risk, leaders must balance efficiency with…” Add a source-based line noting that healthcare leaders are expected to act with honesty, integrity, respect, equity, and competence (American College of Healthcare Executives, 2025). Follow with questions such as: “Will this workflow reduce harm without creating a new access barrier?” and “What outcome data show that the change benefits patients consistently?”</w:t>
      </w:r>
    </w:p>
    <w:p>
      <w:pPr>
        <w:keepLines/>
        <w:widowControl/>
        <w:spacing w:after="100"/>
      </w:pPr>
      <w:r>
        <w:rPr>
          <w:b/>
          <w:color w:val="1F4D78"/>
        </w:rPr>
        <w:t xml:space="preserve">Must include: </w:t>
      </w:r>
      <w:r>
        <w:t>Name and apply—not merely list—at least four ethical principles. Include two or three critical-thinking questions. Explain how the questions improve a decision instead of leaving them as an unsupported list.</w:t>
      </w:r>
    </w:p>
    <w:p>
      <w:pPr>
        <w:keepLines/>
        <w:widowControl/>
        <w:spacing w:after="100"/>
      </w:pPr>
      <w:r>
        <w:rPr>
          <w:b/>
          <w:color w:val="1F4D78"/>
        </w:rPr>
        <w:t xml:space="preserve">Example to add: </w:t>
      </w:r>
      <w:r>
        <w:t>Before reducing overnight staffing to control costs, leaders should examine acuity, response times, safety events, and whether the change would place a disproportionate burden on vulnerable patients or employees.</w:t>
      </w:r>
    </w:p>
    <w:p>
      <w:pPr>
        <w:keepLines/>
        <w:widowControl/>
        <w:spacing w:after="100"/>
      </w:pPr>
      <w:r>
        <w:rPr>
          <w:b/>
          <w:color w:val="1F4D78"/>
        </w:rPr>
        <w:t xml:space="preserve">Citation reminder: </w:t>
      </w:r>
      <w:r>
        <w:t>Use (American College of Healthcare Executives, 2025) after paraphrasing the ethical standards and (Novant Health, n.d.-c) when connecting the analysis to Novant Health's zero-preventable-harm or continuous-improvement expectations.</w:t>
      </w:r>
    </w:p>
    <w:p>
      <w:pPr>
        <w:keepLines/>
        <w:widowControl/>
        <w:spacing w:after="100"/>
      </w:pPr>
      <w:r>
        <w:rPr>
          <w:b/>
          <w:color w:val="1F4D78"/>
        </w:rPr>
        <w:t xml:space="preserve">Rubric target: </w:t>
      </w:r>
      <w:r>
        <w:t>Identifies ethical principles relevant to the first function and analyzes critical-thinking questions that can drive organizational success.</w:t>
      </w:r>
    </w:p>
    <w:p>
      <w:pPr>
        <w:pStyle w:val="Heading1"/>
        <w:pageBreakBefore/>
      </w:pPr>
      <w:r>
        <w:t>Second Key Functional Area: Human Resources and People &amp; Culture</w:t>
      </w:r>
    </w:p>
    <w:p>
      <w:pPr>
        <w:pStyle w:val="Heading2"/>
        <w:pageBreakBefore w:val="0"/>
      </w:pPr>
      <w:r>
        <w:t>Paragraph 3: Why Human Resources and People &amp; Culture Is Essential</w:t>
      </w:r>
    </w:p>
    <w:p>
      <w:pPr>
        <w:keepLines/>
        <w:widowControl/>
        <w:spacing w:after="100"/>
      </w:pPr>
      <w:r>
        <w:rPr>
          <w:b/>
          <w:color w:val="1F4D78"/>
        </w:rPr>
        <w:t xml:space="preserve">Job: </w:t>
      </w:r>
      <w:r>
        <w:t>Identify Human Resources/People and Culture as the second functional area and evaluate how workforce strategy affects Novant Health's performance.</w:t>
      </w:r>
    </w:p>
    <w:p>
      <w:pPr>
        <w:keepLines/>
        <w:widowControl/>
        <w:spacing w:after="100"/>
      </w:pPr>
      <w:r>
        <w:rPr>
          <w:b/>
          <w:color w:val="1F4D78"/>
        </w:rPr>
        <w:t xml:space="preserve">Cover: </w:t>
      </w:r>
      <w:r>
        <w:t>Address recruitment, hiring, onboarding, training, engagement, performance management, retention, compensation, employee well-being, and workforce planning. Explain why clinical goals cannot be achieved without enough qualified, supported, and engaged team members.</w:t>
      </w:r>
    </w:p>
    <w:p>
      <w:pPr>
        <w:keepLines/>
        <w:widowControl/>
        <w:spacing w:after="100"/>
      </w:pPr>
      <w:r>
        <w:rPr>
          <w:b/>
          <w:color w:val="1F4D78"/>
        </w:rPr>
        <w:t xml:space="preserve">Use/source(s): </w:t>
      </w:r>
      <w:r>
        <w:t>Novant Health Careers (Novant Health, n.d.-b) and Belonging at Novant Health (Novant Health, n.d.-a).</w:t>
      </w:r>
    </w:p>
    <w:p>
      <w:pPr>
        <w:keepLines/>
        <w:widowControl/>
        <w:spacing w:after="100"/>
      </w:pPr>
      <w:r>
        <w:rPr>
          <w:b/>
          <w:color w:val="1F4D78"/>
        </w:rPr>
        <w:t xml:space="preserve">POETS-ready flow: </w:t>
      </w:r>
      <w:r>
        <w:t>Point: make the workforce-to-care connection. Evidence: use Novant Health's description of its team members, benefits, development opportunities, and culture. Explanation: connect staffing and retention to continuity, burnout, cost, and care quality. Example: illustrate a workforce problem. Tie-back: connect employee support to organizational success.</w:t>
      </w:r>
    </w:p>
    <w:p>
      <w:pPr>
        <w:spacing w:before="60" w:after="140"/>
        <w:ind w:left="259" w:right="173"/>
        <w:keepLines/>
        <w:widowControl/>
        <w:shd w:fill="F5F8FB"/>
      </w:pPr>
      <w:r>
        <w:rPr>
          <w:b/>
          <w:color w:val="1F4D78"/>
        </w:rPr>
        <w:t xml:space="preserve">Draft-ready idea: </w:t>
      </w:r>
      <w:r>
        <w:t>Begin with a fragment such as, “Human Resources and People and Culture is equally important because Novant Health depends on a large, specialized workforce to deliver care across…” Continue: the organization links its culture and treatment of team members to its commitment to patient care (Novant Health, n.d.-b). Explain why recruitment alone is insufficient without development, engagement, and retention. End by connecting a stable workforce to patient experience and operational continuity.</w:t>
      </w:r>
    </w:p>
    <w:p>
      <w:pPr>
        <w:keepLines/>
        <w:widowControl/>
        <w:spacing w:after="100"/>
      </w:pPr>
      <w:r>
        <w:rPr>
          <w:b/>
          <w:color w:val="1F4D78"/>
        </w:rPr>
        <w:t xml:space="preserve">Must include: </w:t>
      </w:r>
      <w:r>
        <w:t>Evaluate at least four HR responsibilities; use Novant-specific evidence; show how workforce outcomes affect patient care; and avoid describing HR as only paperwork, payroll, or hiring.</w:t>
      </w:r>
    </w:p>
    <w:p>
      <w:pPr>
        <w:keepLines/>
        <w:widowControl/>
        <w:spacing w:after="100"/>
      </w:pPr>
      <w:r>
        <w:rPr>
          <w:b/>
          <w:color w:val="1F4D78"/>
        </w:rPr>
        <w:t xml:space="preserve">Example to add: </w:t>
      </w:r>
      <w:r>
        <w:t>If a hospital unit experiences repeated nurse turnover, HR can work with clinical leaders to examine workload, scheduling, supervision, compensation, advancement, and well-being rather than treating each vacancy as an isolated recruitment problem.</w:t>
      </w:r>
    </w:p>
    <w:p>
      <w:pPr>
        <w:keepLines/>
        <w:widowControl/>
        <w:spacing w:after="100"/>
      </w:pPr>
      <w:r>
        <w:rPr>
          <w:b/>
          <w:color w:val="1F4D78"/>
        </w:rPr>
        <w:t xml:space="preserve">Citation reminder: </w:t>
      </w:r>
      <w:r>
        <w:t>Use (Novant Health, n.d.-b) after describing the organization's workforce support, benefits, or development commitments. Use (Novant Health, n.d.-a) only if this paragraph also discusses belonging or inclusion.</w:t>
      </w:r>
    </w:p>
    <w:p>
      <w:pPr>
        <w:keepLines/>
        <w:widowControl/>
        <w:spacing w:after="100"/>
      </w:pPr>
      <w:r>
        <w:rPr>
          <w:b/>
          <w:color w:val="1F4D78"/>
        </w:rPr>
        <w:t xml:space="preserve">Rubric target: </w:t>
      </w:r>
      <w:r>
        <w:t>Evaluates why the second functional area is important to the success of the selected organization.</w:t>
      </w:r>
    </w:p>
    <w:p>
      <w:pPr>
        <w:pStyle w:val="Heading2"/>
        <w:pageBreakBefore/>
      </w:pPr>
      <w:r>
        <w:t>Paragraph 4: Ethics and Critical Thinking in Human Resources</w:t>
      </w:r>
    </w:p>
    <w:p>
      <w:pPr>
        <w:keepLines/>
        <w:widowControl/>
        <w:spacing w:after="100"/>
      </w:pPr>
      <w:r>
        <w:rPr>
          <w:b/>
          <w:color w:val="1F4D78"/>
        </w:rPr>
        <w:t xml:space="preserve">Job: </w:t>
      </w:r>
      <w:r>
        <w:t>Evaluate the ethical duties of Human Resources/People and Culture and identify questions that promote fair, evidence-based workforce decisions.</w:t>
      </w:r>
    </w:p>
    <w:p>
      <w:pPr>
        <w:keepLines/>
        <w:widowControl/>
        <w:spacing w:after="100"/>
      </w:pPr>
      <w:r>
        <w:rPr>
          <w:b/>
          <w:color w:val="1F4D78"/>
        </w:rPr>
        <w:t xml:space="preserve">Cover: </w:t>
      </w:r>
      <w:r>
        <w:t>Discuss fairness, nondiscrimination, equity, confidentiality, transparency, respect, consistency, due process, conflicts of interest, and employee well-being. Apply critical thinking to hiring, promotion, discipline, compensation, workload, and retention decisions.</w:t>
      </w:r>
    </w:p>
    <w:p>
      <w:pPr>
        <w:keepLines/>
        <w:widowControl/>
        <w:spacing w:after="100"/>
      </w:pPr>
      <w:r>
        <w:rPr>
          <w:b/>
          <w:color w:val="1F4D78"/>
        </w:rPr>
        <w:t xml:space="preserve">Use/source(s): </w:t>
      </w:r>
      <w:r>
        <w:t>Belonging at Novant Health (Novant Health, n.d.-a) and the ACHE Code of Ethics (American College of Healthcare Executives, 2025).</w:t>
      </w:r>
    </w:p>
    <w:p>
      <w:pPr>
        <w:keepLines/>
        <w:widowControl/>
        <w:spacing w:after="100"/>
      </w:pPr>
      <w:r>
        <w:rPr>
          <w:b/>
          <w:color w:val="1F4D78"/>
        </w:rPr>
        <w:t xml:space="preserve">POETS-ready flow: </w:t>
      </w:r>
      <w:r>
        <w:t>Point: state that HR decisions shape opportunity, trust, and culture. Evidence: use Novant Health's belonging commitments and ACHE's expectations for fair and ethical conduct. Explanation: show how bias or inconsistent processes can harm employees and patients. Questions: include two or three decision tests. Tie-back: connect ethical workforce practices to retention, engagement, and care quality.</w:t>
      </w:r>
    </w:p>
    <w:p>
      <w:pPr>
        <w:spacing w:before="60" w:after="140"/>
        <w:ind w:left="259" w:right="173"/>
        <w:keepLines/>
        <w:widowControl/>
        <w:shd w:fill="F5F8FB"/>
      </w:pPr>
      <w:r>
        <w:rPr>
          <w:b/>
          <w:color w:val="1F4D78"/>
        </w:rPr>
        <w:t xml:space="preserve">Draft-ready idea: </w:t>
      </w:r>
      <w:r>
        <w:t>Possible frame: “Human Resources must apply fairness and confidentiality consistently because its decisions influence employees' careers, livelihoods, and willingness to raise concerns.” Add that Novant Health commits to a workplace free from discrimination, harassment, bullying, and violence (Novant Health, n.d.-a). Useful questions include: “Are the same job-related criteria being applied to every candidate?” “Could this policy disadvantage a particular group?” and “What workforce data support the decision?”</w:t>
      </w:r>
    </w:p>
    <w:p>
      <w:pPr>
        <w:keepLines/>
        <w:widowControl/>
        <w:spacing w:after="100"/>
      </w:pPr>
      <w:r>
        <w:rPr>
          <w:b/>
          <w:color w:val="1F4D78"/>
        </w:rPr>
        <w:t xml:space="preserve">Must include: </w:t>
      </w:r>
      <w:r>
        <w:t>Apply at least four ethical principles; include two or three critical-thinking questions; address both individual fairness and organizational consequences; and mention confidentiality when handling employee information or complaints.</w:t>
      </w:r>
    </w:p>
    <w:p>
      <w:pPr>
        <w:keepLines/>
        <w:widowControl/>
        <w:spacing w:after="100"/>
      </w:pPr>
      <w:r>
        <w:rPr>
          <w:b/>
          <w:color w:val="1F4D78"/>
        </w:rPr>
        <w:t xml:space="preserve">Example to add: </w:t>
      </w:r>
      <w:r>
        <w:t>Before changing a promotion standard, HR should test whether the requirement is genuinely job-related, whether employees had equal access to the needed development, and whether outcome data reveal an unintended disparity.</w:t>
      </w:r>
    </w:p>
    <w:p>
      <w:pPr>
        <w:keepLines/>
        <w:widowControl/>
        <w:spacing w:after="100"/>
      </w:pPr>
      <w:r>
        <w:rPr>
          <w:b/>
          <w:color w:val="1F4D78"/>
        </w:rPr>
        <w:t xml:space="preserve">Citation reminder: </w:t>
      </w:r>
      <w:r>
        <w:t>Use (Novant Health, n.d.-a) after paraphrasing the belonging and nondiscrimination commitments. Use (American College of Healthcare Executives, 2025) after the broader ethical-leadership standards. Keep each source tied to the claim it actually supports.</w:t>
      </w:r>
    </w:p>
    <w:p>
      <w:pPr>
        <w:keepLines/>
        <w:widowControl/>
        <w:spacing w:after="100"/>
      </w:pPr>
      <w:r>
        <w:rPr>
          <w:b/>
          <w:color w:val="1F4D78"/>
        </w:rPr>
        <w:t xml:space="preserve">Rubric target: </w:t>
      </w:r>
      <w:r>
        <w:t>Identifies ethical principles relevant to the second function and analyzes critical-thinking questions that can drive organizational success.</w:t>
      </w:r>
    </w:p>
    <w:p>
      <w:r>
        <w:br w:type="page"/>
      </w:r>
    </w:p>
    <w:p>
      <w:pPr>
        <w:pStyle w:val="Heading1"/>
      </w:pPr>
      <w:r>
        <w:t>6. Evidence Bank by Source</w:t>
      </w:r>
    </w:p>
    <w:p>
      <w:pPr>
        <w:pStyle w:val="Heading2"/>
      </w:pPr>
      <w:r>
        <w:t>Novant Health: Patient Safety &amp; Quality Healthcare</w:t>
      </w:r>
    </w:p>
    <w:p>
      <w:pPr>
        <w:pStyle w:val="ListBullet"/>
        <w:keepLines/>
        <w:widowControl/>
      </w:pPr>
      <w:r>
        <w:t>Patient safety is presented as the foundation of the care provided each day.</w:t>
      </w:r>
    </w:p>
    <w:p>
      <w:pPr>
        <w:pStyle w:val="ListBullet"/>
        <w:keepLines/>
        <w:widowControl/>
      </w:pPr>
      <w:r>
        <w:t>The organization emphasizes continuous improvement and a goal of zero preventable harm.</w:t>
      </w:r>
    </w:p>
    <w:p>
      <w:pPr>
        <w:pStyle w:val="ListBullet"/>
        <w:keepLines/>
        <w:widowControl/>
      </w:pPr>
      <w:r>
        <w:t>Every team member is expected to participate in safeguarding patients.</w:t>
      </w:r>
    </w:p>
    <w:p>
      <w:pPr>
        <w:pStyle w:val="ListBullet"/>
        <w:keepLines/>
        <w:widowControl/>
      </w:pPr>
      <w:r>
        <w:t>Use these ideas to support claims about clinical workflows, accountability, monitoring, and a culture of safety.</w:t>
      </w:r>
    </w:p>
    <w:p>
      <w:pPr>
        <w:pStyle w:val="ListBullet"/>
        <w:keepLines/>
        <w:widowControl/>
      </w:pPr>
      <w:r>
        <w:t>Caution: these are organizational commitments, not independent proof that every outcome is achieved. Phrase them as what Novant Health states or prioritizes.</w:t>
      </w:r>
    </w:p>
    <w:p>
      <w:pPr>
        <w:pStyle w:val="Heading2"/>
      </w:pPr>
      <w:r>
        <w:t>Novant Health Careers</w:t>
      </w:r>
    </w:p>
    <w:p>
      <w:pPr>
        <w:pStyle w:val="ListBullet"/>
        <w:keepLines/>
        <w:widowControl/>
      </w:pPr>
      <w:r>
        <w:t>The organization presents culture and treatment of team members as the starting point for its commitment to patient care.</w:t>
      </w:r>
    </w:p>
    <w:p>
      <w:pPr>
        <w:pStyle w:val="ListBullet"/>
        <w:keepLines/>
        <w:widowControl/>
      </w:pPr>
      <w:r>
        <w:t>The page identifies more than 41,000 team members and a broad multi-location workforce.</w:t>
      </w:r>
    </w:p>
    <w:p>
      <w:pPr>
        <w:pStyle w:val="ListBullet"/>
        <w:keepLines/>
        <w:widowControl/>
      </w:pPr>
      <w:r>
        <w:t>Benefits and development examples include well-being resources, tuition reimbursement, leave, retirement, and professional growth.</w:t>
      </w:r>
    </w:p>
    <w:p>
      <w:pPr>
        <w:pStyle w:val="ListBullet"/>
        <w:keepLines/>
        <w:widowControl/>
      </w:pPr>
      <w:r>
        <w:t>Use these details to connect recruitment, development, engagement, and retention with continuity of care.</w:t>
      </w:r>
    </w:p>
    <w:p>
      <w:pPr>
        <w:pStyle w:val="ListBullet"/>
        <w:keepLines/>
        <w:widowControl/>
      </w:pPr>
      <w:r>
        <w:t>Caution: a careers page is an employer-authored source; use it to describe stated programs and priorities rather than to make unsupported claims about employee satisfaction.</w:t>
      </w:r>
    </w:p>
    <w:p>
      <w:pPr>
        <w:pStyle w:val="Heading2"/>
      </w:pPr>
      <w:r>
        <w:t>Novant Health: Belonging</w:t>
      </w:r>
    </w:p>
    <w:p>
      <w:pPr>
        <w:pStyle w:val="ListBullet"/>
        <w:keepLines/>
        <w:widowControl/>
      </w:pPr>
      <w:r>
        <w:t>Novant Health states that team members' different perspectives, experiences, and expertise contribute to remarkable experiences.</w:t>
      </w:r>
    </w:p>
    <w:p>
      <w:pPr>
        <w:pStyle w:val="ListBullet"/>
        <w:keepLines/>
        <w:widowControl/>
      </w:pPr>
      <w:r>
        <w:t>The organization commits to a workplace free of discrimination, harassment, bullying, hate, and violence.</w:t>
      </w:r>
    </w:p>
    <w:p>
      <w:pPr>
        <w:pStyle w:val="ListBullet"/>
        <w:keepLines/>
        <w:widowControl/>
      </w:pPr>
      <w:r>
        <w:t>Belonging is linked to health equity for patients, team members, and communities.</w:t>
      </w:r>
    </w:p>
    <w:p>
      <w:pPr>
        <w:pStyle w:val="ListBullet"/>
        <w:keepLines/>
        <w:widowControl/>
      </w:pPr>
      <w:r>
        <w:t>Use these ideas for inclusion, fair treatment, psychological safety, and equitable HR decisions.</w:t>
      </w:r>
    </w:p>
    <w:p>
      <w:pPr>
        <w:pStyle w:val="ListBullet"/>
        <w:keepLines/>
        <w:widowControl/>
      </w:pPr>
      <w:r>
        <w:t>Caution: distinguish the organization's stated commitment from independently measured results.</w:t>
      </w:r>
    </w:p>
    <w:p>
      <w:pPr>
        <w:pStyle w:val="Heading2"/>
        <w:pageBreakBefore/>
      </w:pPr>
      <w:r>
        <w:t>American College of Healthcare Executives: Code of Ethics</w:t>
      </w:r>
    </w:p>
    <w:p>
      <w:pPr>
        <w:pStyle w:val="ListBullet"/>
        <w:keepLines/>
        <w:widowControl/>
      </w:pPr>
      <w:r>
        <w:t>Healthcare leaders should demonstrate honesty, integrity, respect, equity, fairness, and good faith.</w:t>
      </w:r>
    </w:p>
    <w:p>
      <w:pPr>
        <w:pStyle w:val="ListBullet"/>
        <w:keepLines/>
        <w:widowControl/>
      </w:pPr>
      <w:r>
        <w:t>The code addresses competence, legal compliance, conflicts of interest, confidentiality, and sensitive information.</w:t>
      </w:r>
    </w:p>
    <w:p>
      <w:pPr>
        <w:pStyle w:val="ListBullet"/>
        <w:keepLines/>
        <w:widowControl/>
      </w:pPr>
      <w:r>
        <w:t>Its responsibilities extend to patients, colleagues, the organization, the community, and society.</w:t>
      </w:r>
    </w:p>
    <w:p>
      <w:pPr>
        <w:pStyle w:val="ListBullet"/>
        <w:keepLines/>
        <w:widowControl/>
      </w:pPr>
      <w:r>
        <w:t>Use the code to support the ethical standards applied to both Clinical Operations and Human Resources.</w:t>
      </w:r>
    </w:p>
    <w:p>
      <w:pPr>
        <w:pStyle w:val="ListBullet"/>
        <w:keepLines/>
        <w:widowControl/>
      </w:pPr>
      <w:r>
        <w:t>Caution: paraphrase selectively; do not copy a long list or passage verbatim.</w:t>
      </w:r>
    </w:p>
    <w:p>
      <w:pPr>
        <w:pStyle w:val="Heading1"/>
      </w:pPr>
      <w:r>
        <w:t>7. Draft-Ready Transitions and Question Frames</w:t>
      </w:r>
    </w:p>
    <w:p>
      <w:pPr>
        <w:pStyle w:val="ListBullet"/>
        <w:keepLines/>
        <w:widowControl/>
      </w:pPr>
      <w:r>
        <w:t>Transition from operations importance to ethics: “Operational performance, however, cannot be evaluated only by speed or cost because each decision also affects patient rights, safety, and access.”</w:t>
      </w:r>
    </w:p>
    <w:p>
      <w:pPr>
        <w:pStyle w:val="ListBullet"/>
        <w:keepLines/>
        <w:widowControl/>
      </w:pPr>
      <w:r>
        <w:t>Transition from Clinical Operations to HR: “Although reliable processes are essential, Novant Health also needs a qualified and supported workforce to carry them out consistently.”</w:t>
      </w:r>
    </w:p>
    <w:p>
      <w:pPr>
        <w:pStyle w:val="ListBullet"/>
        <w:keepLines/>
        <w:widowControl/>
      </w:pPr>
      <w:r>
        <w:t>Transition from HR importance to ethics: “Because workforce decisions affect opportunity, livelihood, and workplace trust, Human Resources must apply transparent and equitable standards.”</w:t>
      </w:r>
    </w:p>
    <w:p>
      <w:pPr>
        <w:pStyle w:val="ListBullet"/>
        <w:keepLines/>
        <w:widowControl/>
      </w:pPr>
      <w:r>
        <w:t>Critical-thinking frame: “What evidence shows that this decision addresses the underlying problem rather than only a visible symptom?”</w:t>
      </w:r>
    </w:p>
    <w:p>
      <w:pPr>
        <w:pStyle w:val="ListBullet"/>
        <w:keepLines/>
        <w:widowControl/>
      </w:pPr>
      <w:r>
        <w:t>Critical-thinking frame: “Who benefits, who may be burdened, and what unintended consequence should be monitored?”</w:t>
      </w:r>
    </w:p>
    <w:p>
      <w:pPr>
        <w:pStyle w:val="ListBullet"/>
        <w:keepLines/>
        <w:widowControl/>
      </w:pPr>
      <w:r>
        <w:t>Evidence-integration frame: “Novant Health states that ________ (Novant Health, n.d.-__). This commitment matters to [functional area] because ________.”</w:t>
      </w:r>
    </w:p>
    <w:p>
      <w:pPr>
        <w:pStyle w:val="ListBullet"/>
        <w:keepLines/>
        <w:widowControl/>
      </w:pPr>
      <w:r>
        <w:t>Analysis frame: “This evidence suggests that the function contributes to success by ________, especially when ________.”</w:t>
      </w:r>
    </w:p>
    <w:p>
      <w:pPr>
        <w:pStyle w:val="Heading1"/>
      </w:pPr>
      <w:r>
        <w:t>8. Reference-Page Scaffold</w:t>
      </w:r>
    </w:p>
    <w:p>
      <w:r>
        <w:rPr>
          <w:b/>
        </w:rPr>
        <w:t xml:space="preserve">Use these entries on a separate References page in the final assignment. </w:t>
      </w:r>
      <w:r>
        <w:t>Verify that the n.d.-a, n.d.-b, and n.d.-c labels remain consistent everywhere after any source is added or removed.</w:t>
      </w:r>
    </w:p>
    <w:p>
      <w:pPr>
        <w:spacing w:after="160"/>
        <w:ind w:left="720" w:hanging="720"/>
      </w:pPr>
      <w:r>
        <w:t>American College of Healthcare Executives. (2025, December 8). ACHE code of ethics. https://www.ache.org/about-ache/our-story/our-commitments/ethics/ache-code-of-ethics</w:t>
      </w:r>
    </w:p>
    <w:p>
      <w:pPr>
        <w:spacing w:after="160"/>
        <w:ind w:left="720" w:hanging="720"/>
      </w:pPr>
      <w:r>
        <w:t>Novant Health. (n.d.-a). Belonging. https://www.novanthealth.org/about/our-commitment/belonging</w:t>
      </w:r>
    </w:p>
    <w:p>
      <w:pPr>
        <w:spacing w:after="160"/>
        <w:ind w:left="720" w:hanging="720"/>
      </w:pPr>
      <w:r>
        <w:t>Novant Health. (n.d.-b). Healthcare jobs at Novant Health. https://jobs.novanthealth.org/careers-home/</w:t>
      </w:r>
    </w:p>
    <w:p>
      <w:pPr>
        <w:spacing w:after="160"/>
        <w:ind w:left="720" w:hanging="720"/>
      </w:pPr>
      <w:r>
        <w:t>Novant Health. (n.d.-c). Patient safety &amp; quality healthcare. https://www.novanthealth.org/about/our-commitment/institute-of-safety--quality</w:t>
      </w:r>
    </w:p>
    <w:p>
      <w:pPr>
        <w:pStyle w:val="Heading1"/>
      </w:pPr>
      <w:r>
        <w:t>9. Final Rubric and Submission Checklist</w:t>
      </w:r>
    </w:p>
    <w:p>
      <w:pPr>
        <w:keepLines/>
        <w:widowControl/>
        <w:spacing w:after="100"/>
        <w:ind w:left="403" w:hanging="317"/>
      </w:pPr>
      <w:r>
        <w:rPr>
          <w:b/>
        </w:rPr>
        <w:t xml:space="preserve">☐ </w:t>
      </w:r>
      <w:r>
        <w:t>Replace all title-page placeholders with accurate information.</w:t>
      </w:r>
    </w:p>
    <w:p>
      <w:pPr>
        <w:keepLines/>
        <w:widowControl/>
        <w:spacing w:after="100"/>
        <w:ind w:left="403" w:hanging="317"/>
      </w:pPr>
      <w:r>
        <w:rPr>
          <w:b/>
        </w:rPr>
        <w:t xml:space="preserve">☐ </w:t>
      </w:r>
      <w:r>
        <w:t>Keep the template's two required functional-area headings.</w:t>
      </w:r>
    </w:p>
    <w:p>
      <w:pPr>
        <w:keepLines/>
        <w:widowControl/>
        <w:spacing w:after="100"/>
        <w:ind w:left="403" w:hanging="317"/>
      </w:pPr>
      <w:r>
        <w:rPr>
          <w:b/>
        </w:rPr>
        <w:t xml:space="preserve">☐ </w:t>
      </w:r>
      <w:r>
        <w:t>Use two paragraphs under each heading: importance first, ethics and critical thinking second.</w:t>
      </w:r>
    </w:p>
    <w:p>
      <w:pPr>
        <w:keepLines/>
        <w:widowControl/>
        <w:spacing w:after="100"/>
        <w:ind w:left="403" w:hanging="317"/>
      </w:pPr>
      <w:r>
        <w:rPr>
          <w:b/>
        </w:rPr>
        <w:t xml:space="preserve">☐ </w:t>
      </w:r>
      <w:r>
        <w:t>Evaluate why each area matters; do not provide only a list of duties.</w:t>
      </w:r>
    </w:p>
    <w:p>
      <w:pPr>
        <w:keepLines/>
        <w:widowControl/>
        <w:spacing w:after="100"/>
        <w:ind w:left="403" w:hanging="317"/>
      </w:pPr>
      <w:r>
        <w:rPr>
          <w:b/>
        </w:rPr>
        <w:t xml:space="preserve">☐ </w:t>
      </w:r>
      <w:r>
        <w:t>Apply ethical principles to realistic day-to-day decisions in both functional areas.</w:t>
      </w:r>
    </w:p>
    <w:p>
      <w:pPr>
        <w:keepLines/>
        <w:widowControl/>
        <w:spacing w:after="100"/>
        <w:ind w:left="403" w:hanging="317"/>
      </w:pPr>
      <w:r>
        <w:rPr>
          <w:b/>
        </w:rPr>
        <w:t xml:space="preserve">☐ </w:t>
      </w:r>
      <w:r>
        <w:t>Include at least two meaningful critical-thinking questions for each functional area and explain why they matter.</w:t>
      </w:r>
    </w:p>
    <w:p>
      <w:pPr>
        <w:keepLines/>
        <w:widowControl/>
        <w:spacing w:after="100"/>
        <w:ind w:left="403" w:hanging="317"/>
      </w:pPr>
      <w:r>
        <w:rPr>
          <w:b/>
        </w:rPr>
        <w:t xml:space="preserve">☐ </w:t>
      </w:r>
      <w:r>
        <w:t>Include a concrete Novant Health example in each section.</w:t>
      </w:r>
    </w:p>
    <w:p>
      <w:pPr>
        <w:keepLines/>
        <w:widowControl/>
        <w:spacing w:after="100"/>
        <w:ind w:left="403" w:hanging="317"/>
      </w:pPr>
      <w:r>
        <w:rPr>
          <w:b/>
        </w:rPr>
        <w:t xml:space="preserve">☐ </w:t>
      </w:r>
      <w:r>
        <w:t>Cite every paraphrase of source material and keep the analysis in the learner's own words.</w:t>
      </w:r>
    </w:p>
    <w:p>
      <w:pPr>
        <w:keepLines/>
        <w:widowControl/>
        <w:spacing w:after="100"/>
        <w:ind w:left="403" w:hanging="317"/>
      </w:pPr>
      <w:r>
        <w:rPr>
          <w:b/>
        </w:rPr>
        <w:t xml:space="preserve">☐ </w:t>
      </w:r>
      <w:r>
        <w:t>Confirm that every in-text citation has one matching reference and every reference is cited in the body.</w:t>
      </w:r>
    </w:p>
    <w:p>
      <w:pPr>
        <w:keepLines/>
        <w:widowControl/>
        <w:spacing w:after="100"/>
        <w:ind w:left="403" w:hanging="317"/>
      </w:pPr>
      <w:r>
        <w:rPr>
          <w:b/>
        </w:rPr>
        <w:t xml:space="preserve">☐ </w:t>
      </w:r>
      <w:r>
        <w:t>Place References on a separate page and apply hanging indents.</w:t>
      </w:r>
    </w:p>
    <w:p>
      <w:pPr>
        <w:keepLines/>
        <w:widowControl/>
        <w:spacing w:after="100"/>
        <w:ind w:left="403" w:hanging="317"/>
      </w:pPr>
      <w:r>
        <w:rPr>
          <w:b/>
        </w:rPr>
        <w:t xml:space="preserve">☐ </w:t>
      </w:r>
      <w:r>
        <w:t>Confirm the course's exact POETS definition and adjust paragraph order if needed.</w:t>
      </w:r>
    </w:p>
    <w:p>
      <w:pPr>
        <w:keepLines/>
        <w:widowControl/>
        <w:spacing w:after="100"/>
        <w:ind w:left="403" w:hanging="317"/>
      </w:pPr>
      <w:r>
        <w:rPr>
          <w:b/>
        </w:rPr>
        <w:t xml:space="preserve">☐ </w:t>
      </w:r>
      <w:r>
        <w:t>Read the final paper aloud once for sentence flow, repetition, and personal voice before submission.</w:t>
      </w:r>
    </w:p>
    <w:sectPr w:rsidR="00FC693F" w:rsidRPr="0006063C" w:rsidSect="00034616">
      <w:headerReference w:type="default" r:id="rId9"/>
      <w:footerReference w:type="default" r:id="rId10"/>
      <w:pgSz w:w="12240" w:h="15840"/>
      <w:pgMar w:top="108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Calibri" w:hAnsi="Calibri"/>
        <w:color w:val="667085"/>
        <w:sz w:val="17"/>
      </w:rPr>
      <w:t xml:space="preserve">Novant Health Working Draft  •  </w:t>
    </w:r>
    <w:r>
      <w:fldChar w:fldCharType="begin"/>
      <w:instrText xml:space="preserve">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Calibri" w:hAnsi="Calibri"/>
        <w:color w:val="667085"/>
        <w:sz w:val="17"/>
      </w:rPr>
      <w:t>BHA-FPX3001  |  ASSESSMENT 3 WORKING DRAFT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widowControl/>
      <w:spacing w:before="0" w:after="120" w:line="300" w:lineRule="auto"/>
    </w:pPr>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60" w:after="200"/>
      <w:outlineLvl w:val="0"/>
    </w:pPr>
    <w:rPr>
      <w:rFonts w:asciiTheme="majorHAnsi" w:eastAsiaTheme="majorEastAsia" w:hAnsiTheme="majorHAnsi" w:cstheme="majorBidi" w:ascii="Calibri" w:hAnsi="Calibri"/>
      <w:b/>
      <w:bCs/>
      <w:color w:val="2E74B5"/>
      <w:sz w:val="32"/>
      <w:szCs w:val="28"/>
    </w:rPr>
  </w:style>
  <w:style w:type="paragraph" w:styleId="Heading2">
    <w:name w:val="heading 2"/>
    <w:basedOn w:val="Normal"/>
    <w:next w:val="Normal"/>
    <w:link w:val="Heading2Char"/>
    <w:uiPriority w:val="9"/>
    <w:unhideWhenUsed/>
    <w:qFormat/>
    <w:rsid w:val="00FC693F"/>
    <w:pPr>
      <w:keepNext/>
      <w:keepLines/>
      <w:spacing w:before="280" w:after="140"/>
      <w:outlineLvl w:val="1"/>
    </w:pPr>
    <w:rPr>
      <w:rFonts w:asciiTheme="majorHAnsi" w:eastAsiaTheme="majorEastAsia" w:hAnsiTheme="majorHAnsi" w:cstheme="majorBidi" w:ascii="Calibri" w:hAnsi="Calibri"/>
      <w:b/>
      <w:bCs/>
      <w:color w:val="2E74B5"/>
      <w:sz w:val="26"/>
      <w:szCs w:val="26"/>
    </w:rPr>
  </w:style>
  <w:style w:type="paragraph" w:styleId="Heading3">
    <w:name w:val="heading 3"/>
    <w:basedOn w:val="Normal"/>
    <w:next w:val="Normal"/>
    <w:link w:val="Heading3Char"/>
    <w:uiPriority w:val="9"/>
    <w:unhideWhenUsed/>
    <w:qFormat/>
    <w:rsid w:val="00FC693F"/>
    <w:pPr>
      <w:keepNext/>
      <w:keepLines/>
      <w:spacing w:before="200" w:after="100"/>
      <w:outlineLvl w:val="2"/>
    </w:pPr>
    <w:rPr>
      <w:rFonts w:asciiTheme="majorHAnsi" w:eastAsiaTheme="majorEastAsia" w:hAnsiTheme="majorHAnsi" w:cstheme="majorBidi" w:ascii="Calibri" w:hAnsi="Calibri"/>
      <w:b/>
      <w:bCs/>
      <w:color w:val="1F4D78"/>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widowControl/>
      <w:numPr>
        <w:numId w:val="1"/>
      </w:numPr>
      <w:spacing w:after="80" w:line="300" w:lineRule="auto"/>
      <w:contextualSpacing/>
    </w:pPr>
    <w:rPr>
      <w:rFonts w:ascii="Calibri" w:hAnsi="Calibri"/>
      <w:sz w:val="22"/>
    </w:rPr>
  </w:style>
  <w:style w:type="paragraph" w:styleId="ListBullet2">
    <w:name w:val="List Bullet 2"/>
    <w:basedOn w:val="Normal"/>
    <w:uiPriority w:val="99"/>
    <w:unhideWhenUsed/>
    <w:rsid w:val="00326F90"/>
    <w:pPr>
      <w:widowControl/>
      <w:numPr>
        <w:numId w:val="2"/>
      </w:numPr>
      <w:spacing w:after="80" w:line="300" w:lineRule="auto"/>
      <w:contextualSpacing/>
    </w:pPr>
    <w:rPr>
      <w:rFonts w:ascii="Calibri" w:hAnsi="Calibri"/>
      <w:sz w:val="22"/>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