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21C" w:rsidRDefault="00B7721C" w:rsidP="005C4BC4">
      <w:pPr>
        <w:pStyle w:val="NormalWeb"/>
        <w:shd w:val="clear" w:color="auto" w:fill="FFFFFF"/>
        <w:rPr>
          <w:rFonts w:ascii="Open Sans" w:hAnsi="Open Sans" w:cs="Open Sans"/>
          <w:b/>
          <w:bCs/>
          <w:color w:val="212121"/>
          <w:spacing w:val="2"/>
        </w:rPr>
      </w:pPr>
      <w:r w:rsidRPr="00B7721C">
        <w:rPr>
          <w:rFonts w:ascii="Open Sans" w:hAnsi="Open Sans" w:cs="Open Sans"/>
          <w:b/>
          <w:bCs/>
          <w:color w:val="212121"/>
          <w:spacing w:val="2"/>
        </w:rPr>
        <w:t>Topic 6 DQ 2</w:t>
      </w:r>
      <w:r w:rsidR="00625DE6">
        <w:rPr>
          <w:rFonts w:ascii="Open Sans" w:hAnsi="Open Sans" w:cs="Open Sans"/>
          <w:b/>
          <w:bCs/>
          <w:color w:val="212121"/>
          <w:spacing w:val="2"/>
        </w:rPr>
        <w:t xml:space="preserve"> Res</w:t>
      </w:r>
      <w:r w:rsidR="005C4BC4">
        <w:rPr>
          <w:rFonts w:ascii="Open Sans" w:hAnsi="Open Sans" w:cs="Open Sans"/>
          <w:b/>
          <w:bCs/>
          <w:color w:val="212121"/>
          <w:spacing w:val="2"/>
        </w:rPr>
        <w:t>ponses</w:t>
      </w:r>
    </w:p>
    <w:p w:rsidR="008E4388" w:rsidRPr="00B7721C" w:rsidRDefault="008E4388" w:rsidP="005C4BC4">
      <w:pPr>
        <w:pStyle w:val="NormalWeb"/>
        <w:shd w:val="clear" w:color="auto" w:fill="FFFFFF"/>
        <w:rPr>
          <w:rFonts w:ascii="Open Sans" w:hAnsi="Open Sans" w:cs="Open Sans"/>
          <w:b/>
          <w:bCs/>
          <w:color w:val="212121"/>
          <w:spacing w:val="2"/>
        </w:rPr>
      </w:pPr>
      <w:r>
        <w:rPr>
          <w:rFonts w:ascii="Open Sans" w:hAnsi="Open Sans" w:cs="Open Sans"/>
          <w:b/>
          <w:bCs/>
          <w:color w:val="212121"/>
          <w:spacing w:val="2"/>
        </w:rPr>
        <w:t>Paige’s Discussion</w:t>
      </w:r>
    </w:p>
    <w:p w:rsidR="008E4388" w:rsidRDefault="008E4388" w:rsidP="005C4BC4">
      <w:pPr>
        <w:pStyle w:val="NormalWeb"/>
        <w:shd w:val="clear" w:color="auto" w:fill="FFFFFF"/>
        <w:rPr>
          <w:rFonts w:ascii="Open Sans" w:hAnsi="Open Sans" w:cs="Open Sans"/>
          <w:color w:val="212121"/>
          <w:spacing w:val="2"/>
          <w:sz w:val="21"/>
          <w:szCs w:val="21"/>
        </w:rPr>
      </w:pPr>
      <w:r>
        <w:rPr>
          <w:rFonts w:ascii="Open Sans" w:hAnsi="Open Sans" w:cs="Open Sans"/>
          <w:color w:val="212121"/>
          <w:spacing w:val="2"/>
          <w:sz w:val="21"/>
          <w:szCs w:val="21"/>
        </w:rPr>
        <w:t>My implementation plan in Topic 5 outlines a staged, co</w:t>
      </w:r>
      <w:r>
        <w:rPr>
          <w:rFonts w:ascii="Open Sans" w:hAnsi="Open Sans" w:cs="Open Sans"/>
          <w:color w:val="212121"/>
          <w:spacing w:val="2"/>
          <w:sz w:val="21"/>
          <w:szCs w:val="21"/>
        </w:rPr>
        <w:noBreakHyphen/>
        <w:t>designed fall</w:t>
      </w:r>
      <w:r>
        <w:rPr>
          <w:rFonts w:ascii="Open Sans" w:hAnsi="Open Sans" w:cs="Open Sans"/>
          <w:color w:val="212121"/>
          <w:spacing w:val="2"/>
          <w:sz w:val="21"/>
          <w:szCs w:val="21"/>
        </w:rPr>
        <w:noBreakHyphen/>
        <w:t>prevention education bundle that integrates teach</w:t>
      </w:r>
      <w:r>
        <w:rPr>
          <w:rFonts w:ascii="Open Sans" w:hAnsi="Open Sans" w:cs="Open Sans"/>
          <w:color w:val="212121"/>
          <w:spacing w:val="2"/>
          <w:sz w:val="21"/>
          <w:szCs w:val="21"/>
        </w:rPr>
        <w:noBreakHyphen/>
        <w:t>back education at admission and discharge, supervised balance and strength exercises individualized to ability and preference, pharmacist</w:t>
      </w:r>
      <w:r>
        <w:rPr>
          <w:rFonts w:ascii="Open Sans" w:hAnsi="Open Sans" w:cs="Open Sans"/>
          <w:color w:val="212121"/>
          <w:spacing w:val="2"/>
          <w:sz w:val="21"/>
          <w:szCs w:val="21"/>
        </w:rPr>
        <w:noBreakHyphen/>
        <w:t>led medication review targeting deprescribing of fall</w:t>
      </w:r>
      <w:r>
        <w:rPr>
          <w:rFonts w:ascii="Open Sans" w:hAnsi="Open Sans" w:cs="Open Sans"/>
          <w:color w:val="212121"/>
          <w:spacing w:val="2"/>
          <w:sz w:val="21"/>
          <w:szCs w:val="21"/>
        </w:rPr>
        <w:noBreakHyphen/>
        <w:t>risk medications, and standardized environmental hazard checks with remediation protocols; the plan uses an interdisciplinary implementation team, unit champions, EHR</w:t>
      </w:r>
      <w:r>
        <w:rPr>
          <w:rFonts w:ascii="Open Sans" w:hAnsi="Open Sans" w:cs="Open Sans"/>
          <w:color w:val="212121"/>
          <w:spacing w:val="2"/>
          <w:sz w:val="21"/>
          <w:szCs w:val="21"/>
        </w:rPr>
        <w:noBreakHyphen/>
        <w:t>embedded workflows, simulation</w:t>
      </w:r>
      <w:r>
        <w:rPr>
          <w:rFonts w:ascii="Open Sans" w:hAnsi="Open Sans" w:cs="Open Sans"/>
          <w:color w:val="212121"/>
          <w:spacing w:val="2"/>
          <w:sz w:val="21"/>
          <w:szCs w:val="21"/>
        </w:rPr>
        <w:noBreakHyphen/>
        <w:t>based competency training, weekly PDSA cycles during a pilot, and unit</w:t>
      </w:r>
      <w:r>
        <w:rPr>
          <w:rFonts w:ascii="Open Sans" w:hAnsi="Open Sans" w:cs="Open Sans"/>
          <w:color w:val="212121"/>
          <w:spacing w:val="2"/>
          <w:sz w:val="21"/>
          <w:szCs w:val="21"/>
        </w:rPr>
        <w:noBreakHyphen/>
        <w:t>wide scale</w:t>
      </w:r>
      <w:r>
        <w:rPr>
          <w:rFonts w:ascii="Open Sans" w:hAnsi="Open Sans" w:cs="Open Sans"/>
          <w:color w:val="212121"/>
          <w:spacing w:val="2"/>
          <w:sz w:val="21"/>
          <w:szCs w:val="21"/>
        </w:rPr>
        <w:noBreakHyphen/>
        <w:t>up with dashboards and refresher training to embed the bundle into routine practice. To enhance feasibility and sustainment, three practical modifications are recommended: convert the initial intensive training into modular micro</w:t>
      </w:r>
      <w:r>
        <w:rPr>
          <w:rFonts w:ascii="Open Sans" w:hAnsi="Open Sans" w:cs="Open Sans"/>
          <w:color w:val="212121"/>
          <w:spacing w:val="2"/>
          <w:sz w:val="21"/>
          <w:szCs w:val="21"/>
        </w:rPr>
        <w:noBreakHyphen/>
        <w:t>learning with scheduled refreshers to reduce skill decay and fit shift schedules; simplify EHR documentation into role</w:t>
      </w:r>
      <w:r>
        <w:rPr>
          <w:rFonts w:ascii="Open Sans" w:hAnsi="Open Sans" w:cs="Open Sans"/>
          <w:color w:val="212121"/>
          <w:spacing w:val="2"/>
          <w:sz w:val="21"/>
          <w:szCs w:val="21"/>
        </w:rPr>
        <w:noBreakHyphen/>
        <w:t>assigned, one</w:t>
      </w:r>
      <w:r>
        <w:rPr>
          <w:rFonts w:ascii="Open Sans" w:hAnsi="Open Sans" w:cs="Open Sans"/>
          <w:color w:val="212121"/>
          <w:spacing w:val="2"/>
          <w:sz w:val="21"/>
          <w:szCs w:val="21"/>
        </w:rPr>
        <w:noBreakHyphen/>
        <w:t>click checklists to limit charting burden and improve fidelity; and include a brief budget</w:t>
      </w:r>
      <w:r>
        <w:rPr>
          <w:rFonts w:ascii="Open Sans" w:hAnsi="Open Sans" w:cs="Open Sans"/>
          <w:color w:val="212121"/>
          <w:spacing w:val="2"/>
          <w:sz w:val="21"/>
          <w:szCs w:val="21"/>
        </w:rPr>
        <w:noBreakHyphen/>
        <w:t>impact analysis during the pilot to demonstrate return on investment and secure ongoing pharmacist and therapy resources. These changes address anticipated barriers—staff workload, EHR integration, and intervention fatigue—while preserving the multifactorial, locally adapted approach shown to be most effective in residential aged</w:t>
      </w:r>
      <w:r>
        <w:rPr>
          <w:rFonts w:ascii="Open Sans" w:hAnsi="Open Sans" w:cs="Open Sans"/>
          <w:color w:val="212121"/>
          <w:spacing w:val="2"/>
          <w:sz w:val="21"/>
          <w:szCs w:val="21"/>
        </w:rPr>
        <w:noBreakHyphen/>
        <w:t>care settings. Embedding culturally and linguistically tailored materials and involving family caregivers and interpreters will promote equity and engagement. Overall, aligning explicit implementation strategies with local adaptation, streamlined workflows, and early economic evidence increases the likelihood that the bundle will reduce falls, lower fall</w:t>
      </w:r>
      <w:r>
        <w:rPr>
          <w:rFonts w:ascii="Open Sans" w:hAnsi="Open Sans" w:cs="Open Sans"/>
          <w:color w:val="212121"/>
          <w:spacing w:val="2"/>
          <w:sz w:val="21"/>
          <w:szCs w:val="21"/>
        </w:rPr>
        <w:noBreakHyphen/>
        <w:t xml:space="preserve">related injuries, and improve resident and caregiver knowledge (Suen et al., 2023; </w:t>
      </w:r>
      <w:proofErr w:type="spellStart"/>
      <w:r>
        <w:rPr>
          <w:rFonts w:ascii="Open Sans" w:hAnsi="Open Sans" w:cs="Open Sans"/>
          <w:color w:val="212121"/>
          <w:spacing w:val="2"/>
          <w:sz w:val="21"/>
          <w:szCs w:val="21"/>
        </w:rPr>
        <w:t>Albasha</w:t>
      </w:r>
      <w:proofErr w:type="spellEnd"/>
      <w:r>
        <w:rPr>
          <w:rFonts w:ascii="Open Sans" w:hAnsi="Open Sans" w:cs="Open Sans"/>
          <w:color w:val="212121"/>
          <w:spacing w:val="2"/>
          <w:sz w:val="21"/>
          <w:szCs w:val="21"/>
        </w:rPr>
        <w:t xml:space="preserve"> et al., 2023).</w:t>
      </w:r>
    </w:p>
    <w:p w:rsidR="008E4388" w:rsidRPr="008E4388" w:rsidRDefault="008E4388" w:rsidP="005C4BC4">
      <w:pPr>
        <w:pStyle w:val="NormalWeb"/>
        <w:shd w:val="clear" w:color="auto" w:fill="FFFFFF"/>
        <w:rPr>
          <w:rFonts w:ascii="Open Sans" w:hAnsi="Open Sans" w:cs="Open Sans"/>
          <w:b/>
          <w:bCs/>
          <w:color w:val="212121"/>
          <w:spacing w:val="2"/>
          <w:sz w:val="21"/>
          <w:szCs w:val="21"/>
        </w:rPr>
      </w:pPr>
      <w:r w:rsidRPr="008E4388">
        <w:rPr>
          <w:rFonts w:ascii="Open Sans" w:hAnsi="Open Sans" w:cs="Open Sans"/>
          <w:b/>
          <w:bCs/>
          <w:color w:val="212121"/>
          <w:spacing w:val="2"/>
          <w:sz w:val="21"/>
          <w:szCs w:val="21"/>
        </w:rPr>
        <w:t>References</w:t>
      </w:r>
    </w:p>
    <w:p w:rsidR="008E4388" w:rsidRDefault="008E4388" w:rsidP="005C4BC4">
      <w:pPr>
        <w:pStyle w:val="NormalWeb"/>
        <w:shd w:val="clear" w:color="auto" w:fill="FFFFFF"/>
        <w:spacing w:before="0" w:after="0"/>
        <w:ind w:left="720" w:hanging="720"/>
        <w:rPr>
          <w:rFonts w:ascii="Open Sans" w:hAnsi="Open Sans" w:cs="Open Sans"/>
          <w:color w:val="212121"/>
          <w:spacing w:val="2"/>
          <w:sz w:val="21"/>
          <w:szCs w:val="21"/>
        </w:rPr>
      </w:pPr>
      <w:proofErr w:type="spellStart"/>
      <w:r>
        <w:rPr>
          <w:rFonts w:ascii="Open Sans" w:hAnsi="Open Sans" w:cs="Open Sans"/>
          <w:color w:val="212121"/>
          <w:spacing w:val="2"/>
          <w:sz w:val="21"/>
          <w:szCs w:val="21"/>
        </w:rPr>
        <w:t>Albasha</w:t>
      </w:r>
      <w:proofErr w:type="spellEnd"/>
      <w:r>
        <w:rPr>
          <w:rFonts w:ascii="Open Sans" w:hAnsi="Open Sans" w:cs="Open Sans"/>
          <w:color w:val="212121"/>
          <w:spacing w:val="2"/>
          <w:sz w:val="21"/>
          <w:szCs w:val="21"/>
        </w:rPr>
        <w:t xml:space="preserve">, N., Ahern, L., </w:t>
      </w:r>
      <w:proofErr w:type="spellStart"/>
      <w:r>
        <w:rPr>
          <w:rFonts w:ascii="Open Sans" w:hAnsi="Open Sans" w:cs="Open Sans"/>
          <w:color w:val="212121"/>
          <w:spacing w:val="2"/>
          <w:sz w:val="21"/>
          <w:szCs w:val="21"/>
        </w:rPr>
        <w:t>O’Mahony</w:t>
      </w:r>
      <w:proofErr w:type="spellEnd"/>
      <w:r>
        <w:rPr>
          <w:rFonts w:ascii="Open Sans" w:hAnsi="Open Sans" w:cs="Open Sans"/>
          <w:color w:val="212121"/>
          <w:spacing w:val="2"/>
          <w:sz w:val="21"/>
          <w:szCs w:val="21"/>
        </w:rPr>
        <w:t xml:space="preserve">, L., McCullagh, R., </w:t>
      </w:r>
      <w:proofErr w:type="spellStart"/>
      <w:r>
        <w:rPr>
          <w:rFonts w:ascii="Open Sans" w:hAnsi="Open Sans" w:cs="Open Sans"/>
          <w:color w:val="212121"/>
          <w:spacing w:val="2"/>
          <w:sz w:val="21"/>
          <w:szCs w:val="21"/>
        </w:rPr>
        <w:t>Cornally</w:t>
      </w:r>
      <w:proofErr w:type="spellEnd"/>
      <w:r>
        <w:rPr>
          <w:rFonts w:ascii="Open Sans" w:hAnsi="Open Sans" w:cs="Open Sans"/>
          <w:color w:val="212121"/>
          <w:spacing w:val="2"/>
          <w:sz w:val="21"/>
          <w:szCs w:val="21"/>
        </w:rPr>
        <w:t>, N., McHugh, S., &amp; Timmons, S. (2023). Implementation strategies to support fall prevention interventions in long</w:t>
      </w:r>
      <w:r>
        <w:rPr>
          <w:rFonts w:ascii="Open Sans" w:hAnsi="Open Sans" w:cs="Open Sans"/>
          <w:color w:val="212121"/>
          <w:spacing w:val="2"/>
          <w:sz w:val="21"/>
          <w:szCs w:val="21"/>
        </w:rPr>
        <w:noBreakHyphen/>
        <w:t>term care facilities for older persons: A systematic review. </w:t>
      </w:r>
      <w:r>
        <w:rPr>
          <w:rStyle w:val="Emphasis"/>
          <w:rFonts w:ascii="inherit" w:hAnsi="inherit" w:cs="Open Sans"/>
          <w:color w:val="212121"/>
          <w:spacing w:val="2"/>
          <w:sz w:val="21"/>
          <w:szCs w:val="21"/>
          <w:bdr w:val="none" w:sz="0" w:space="0" w:color="auto" w:frame="1"/>
        </w:rPr>
        <w:t>BMC Geriatrics, 23</w:t>
      </w:r>
      <w:r>
        <w:rPr>
          <w:rFonts w:ascii="Open Sans" w:hAnsi="Open Sans" w:cs="Open Sans"/>
          <w:color w:val="212121"/>
          <w:spacing w:val="2"/>
          <w:sz w:val="21"/>
          <w:szCs w:val="21"/>
        </w:rPr>
        <w:t>, 47. </w:t>
      </w:r>
      <w:hyperlink r:id="rId4" w:tgtFrame="_blank" w:history="1">
        <w:r>
          <w:rPr>
            <w:rStyle w:val="Hyperlink"/>
            <w:rFonts w:ascii="inherit" w:hAnsi="inherit" w:cs="Open Sans"/>
            <w:color w:val="1A65B0"/>
            <w:spacing w:val="2"/>
            <w:sz w:val="21"/>
            <w:szCs w:val="21"/>
            <w:bdr w:val="none" w:sz="0" w:space="0" w:color="auto" w:frame="1"/>
          </w:rPr>
          <w:t>Implementation strategies to support fall prevention interventions in long-term care facilities for older persons: a systematic review | BMC Geriatrics | Springer Nature Link</w:t>
        </w:r>
      </w:hyperlink>
    </w:p>
    <w:p w:rsidR="008E4388" w:rsidRDefault="008E4388" w:rsidP="005C4BC4">
      <w:pPr>
        <w:pStyle w:val="NormalWeb"/>
        <w:shd w:val="clear" w:color="auto" w:fill="FFFFFF"/>
        <w:spacing w:before="0" w:after="0"/>
        <w:ind w:left="720" w:hanging="720"/>
        <w:rPr>
          <w:rFonts w:ascii="Open Sans" w:hAnsi="Open Sans" w:cs="Open Sans"/>
          <w:color w:val="212121"/>
          <w:spacing w:val="2"/>
          <w:sz w:val="21"/>
          <w:szCs w:val="21"/>
        </w:rPr>
      </w:pPr>
      <w:r>
        <w:rPr>
          <w:rFonts w:ascii="Open Sans" w:hAnsi="Open Sans" w:cs="Open Sans"/>
          <w:color w:val="212121"/>
          <w:spacing w:val="2"/>
          <w:sz w:val="21"/>
          <w:szCs w:val="21"/>
        </w:rPr>
        <w:t xml:space="preserve">Suen, J., </w:t>
      </w:r>
      <w:proofErr w:type="spellStart"/>
      <w:r>
        <w:rPr>
          <w:rFonts w:ascii="Open Sans" w:hAnsi="Open Sans" w:cs="Open Sans"/>
          <w:color w:val="212121"/>
          <w:spacing w:val="2"/>
          <w:sz w:val="21"/>
          <w:szCs w:val="21"/>
        </w:rPr>
        <w:t>Kneale</w:t>
      </w:r>
      <w:proofErr w:type="spellEnd"/>
      <w:r>
        <w:rPr>
          <w:rFonts w:ascii="Open Sans" w:hAnsi="Open Sans" w:cs="Open Sans"/>
          <w:color w:val="212121"/>
          <w:spacing w:val="2"/>
          <w:sz w:val="21"/>
          <w:szCs w:val="21"/>
        </w:rPr>
        <w:t>, D., Sutcliffe, K., Kwok, W., Cameron, I. D., Crotty, M., Sherrington, C., &amp; Dyer, S. (2023). Critical features of multifactorial interventions for effective falls reduction in residential aged care: A systematic review, intervention component analysis and qualitative comparative analysis. </w:t>
      </w:r>
      <w:r>
        <w:rPr>
          <w:rStyle w:val="Emphasis"/>
          <w:rFonts w:ascii="inherit" w:hAnsi="inherit" w:cs="Open Sans"/>
          <w:color w:val="212121"/>
          <w:spacing w:val="2"/>
          <w:sz w:val="21"/>
          <w:szCs w:val="21"/>
          <w:bdr w:val="none" w:sz="0" w:space="0" w:color="auto" w:frame="1"/>
        </w:rPr>
        <w:t>Age and Ageing</w:t>
      </w:r>
      <w:r>
        <w:rPr>
          <w:rFonts w:ascii="Open Sans" w:hAnsi="Open Sans" w:cs="Open Sans"/>
          <w:color w:val="212121"/>
          <w:spacing w:val="2"/>
          <w:sz w:val="21"/>
          <w:szCs w:val="21"/>
        </w:rPr>
        <w:t>. </w:t>
      </w:r>
      <w:hyperlink r:id="rId5" w:tgtFrame="_blank" w:history="1">
        <w:r>
          <w:rPr>
            <w:rStyle w:val="Hyperlink"/>
            <w:rFonts w:ascii="inherit" w:hAnsi="inherit" w:cs="Open Sans"/>
            <w:color w:val="1A65B0"/>
            <w:spacing w:val="2"/>
            <w:sz w:val="21"/>
            <w:szCs w:val="21"/>
            <w:bdr w:val="none" w:sz="0" w:space="0" w:color="auto" w:frame="1"/>
          </w:rPr>
          <w:t>Critical features of multifactorial interventions for effective falls reduction in residential aged care: a systematic review, intervention component analysis and qualitative comparative analysis | Age and Ageing | Oxford Academic</w:t>
        </w:r>
      </w:hyperlink>
    </w:p>
    <w:p w:rsidR="00B72657" w:rsidRDefault="00B72657" w:rsidP="005C4BC4"/>
    <w:p w:rsidR="005C4BC4" w:rsidRDefault="005C4BC4" w:rsidP="005C4BC4"/>
    <w:p w:rsidR="005C4BC4" w:rsidRDefault="005C4BC4" w:rsidP="005C4BC4"/>
    <w:p w:rsidR="005C4BC4" w:rsidRPr="005C4BC4" w:rsidRDefault="005C4BC4" w:rsidP="005C4BC4">
      <w:pPr>
        <w:pStyle w:val="NormalWeb"/>
        <w:shd w:val="clear" w:color="auto" w:fill="FFFFFF"/>
        <w:spacing w:line="360" w:lineRule="atLeast"/>
        <w:rPr>
          <w:rFonts w:ascii="Open Sans" w:hAnsi="Open Sans" w:cs="Open Sans"/>
          <w:b/>
          <w:bCs/>
          <w:color w:val="212121"/>
          <w:spacing w:val="2"/>
          <w:sz w:val="21"/>
          <w:szCs w:val="21"/>
        </w:rPr>
      </w:pPr>
      <w:r w:rsidRPr="005C4BC4">
        <w:rPr>
          <w:rFonts w:ascii="Open Sans" w:hAnsi="Open Sans" w:cs="Open Sans"/>
          <w:b/>
          <w:bCs/>
          <w:color w:val="212121"/>
          <w:spacing w:val="2"/>
          <w:sz w:val="21"/>
          <w:szCs w:val="21"/>
        </w:rPr>
        <w:lastRenderedPageBreak/>
        <w:t>Jeanne’s Discussion</w:t>
      </w:r>
    </w:p>
    <w:p w:rsidR="005C4BC4" w:rsidRDefault="005C4BC4" w:rsidP="005C4BC4">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My implementation plan focuses on reducing 30-day hospital readmissions through improved transitional care and standardized discharge planning. After discussing the project with my preceptor and assessing the clinical site, I identified several key resources needed for successful implementation, including leadership support, an interdisciplinary healthcare team, standardized discharge education materials, staff education, and the electronic health record (EHR). The intervention will involve educating nursing staff on evidence-based discharge planning practices, utilizing the teach-back method to improve patient understanding, ensuring medication reconciliation is completed, and scheduling appropriate follow-up care before discharge. These strategies are designed to improve communication among healthcare providers and empower patients to better manage their health after leaving the hospital.</w:t>
      </w:r>
    </w:p>
    <w:p w:rsidR="005C4BC4" w:rsidRDefault="005C4BC4" w:rsidP="005C4BC4">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As I continue developing my capstone project, I recognize that several modifications may strengthen the implementation plan. One important improvement is incorporating a standardized discharge checklist into the workflow to promote consistency among all nursing staff. I also plan to include a follow-up telephone call within 48 to 72 hours after discharge to reinforce education, answer patient questions, identify barriers to medication adherence, and encourage attendance at follow-up appointments. Additionally, ongoing monitoring of 30-day readmission rates and patient satisfaction scores will provide measurable data to evaluate the effectiveness of the intervention and guide future quality improvement efforts. By strengthening interdisciplinary collaboration and standardizing the discharge process, this implementation plan has the potential to improve patient outcomes, reduce avoidable readmissions, and support evidence-based nursing practice.</w:t>
      </w:r>
    </w:p>
    <w:p w:rsidR="005C4BC4" w:rsidRDefault="005C4BC4" w:rsidP="005C4BC4">
      <w:pPr>
        <w:pStyle w:val="NormalWeb"/>
        <w:shd w:val="clear" w:color="auto" w:fill="FFFFFF"/>
        <w:spacing w:before="0" w:after="0" w:line="360" w:lineRule="atLeast"/>
        <w:rPr>
          <w:rFonts w:ascii="Open Sans" w:hAnsi="Open Sans" w:cs="Open Sans"/>
          <w:color w:val="212121"/>
          <w:spacing w:val="2"/>
          <w:sz w:val="21"/>
          <w:szCs w:val="21"/>
        </w:rPr>
      </w:pPr>
      <w:r>
        <w:rPr>
          <w:rStyle w:val="Strong"/>
          <w:rFonts w:ascii="inherit" w:hAnsi="inherit" w:cs="Open Sans"/>
          <w:color w:val="212121"/>
          <w:spacing w:val="2"/>
          <w:sz w:val="21"/>
          <w:szCs w:val="21"/>
          <w:bdr w:val="none" w:sz="0" w:space="0" w:color="auto" w:frame="1"/>
        </w:rPr>
        <w:t>References</w:t>
      </w:r>
    </w:p>
    <w:p w:rsidR="005C4BC4" w:rsidRDefault="005C4BC4" w:rsidP="005C4BC4">
      <w:pPr>
        <w:pStyle w:val="NormalWeb"/>
        <w:shd w:val="clear" w:color="auto" w:fill="FFFFFF"/>
        <w:spacing w:before="0" w:after="0" w:line="360" w:lineRule="atLeast"/>
        <w:ind w:left="720" w:hanging="720"/>
        <w:rPr>
          <w:rFonts w:ascii="Open Sans" w:hAnsi="Open Sans" w:cs="Open Sans"/>
          <w:color w:val="212121"/>
          <w:spacing w:val="2"/>
          <w:sz w:val="21"/>
          <w:szCs w:val="21"/>
        </w:rPr>
      </w:pPr>
      <w:r>
        <w:rPr>
          <w:rFonts w:ascii="Open Sans" w:hAnsi="Open Sans" w:cs="Open Sans"/>
          <w:color w:val="212121"/>
          <w:spacing w:val="2"/>
          <w:sz w:val="21"/>
          <w:szCs w:val="21"/>
        </w:rPr>
        <w:t>Melnyk, B. M., &amp; Fineout-Overholt, E. (2023). </w:t>
      </w:r>
      <w:r>
        <w:rPr>
          <w:rStyle w:val="Emphasis"/>
          <w:rFonts w:ascii="inherit" w:hAnsi="inherit" w:cs="Open Sans"/>
          <w:color w:val="212121"/>
          <w:spacing w:val="2"/>
          <w:sz w:val="21"/>
          <w:szCs w:val="21"/>
          <w:bdr w:val="none" w:sz="0" w:space="0" w:color="auto" w:frame="1"/>
        </w:rPr>
        <w:t>Evidence-based practice in nursing &amp; healthcare: A guide to best practice</w:t>
      </w:r>
      <w:r>
        <w:rPr>
          <w:rFonts w:ascii="Open Sans" w:hAnsi="Open Sans" w:cs="Open Sans"/>
          <w:color w:val="212121"/>
          <w:spacing w:val="2"/>
          <w:sz w:val="21"/>
          <w:szCs w:val="21"/>
        </w:rPr>
        <w:t> (5th ed.). Wolters Kluwer.</w:t>
      </w:r>
    </w:p>
    <w:p w:rsidR="005C4BC4" w:rsidRDefault="005C4BC4" w:rsidP="005C4BC4">
      <w:pPr>
        <w:pStyle w:val="NormalWeb"/>
        <w:shd w:val="clear" w:color="auto" w:fill="FFFFFF"/>
        <w:spacing w:before="0" w:after="0" w:line="360" w:lineRule="atLeast"/>
        <w:ind w:left="720" w:hanging="720"/>
        <w:rPr>
          <w:rFonts w:ascii="Open Sans" w:hAnsi="Open Sans" w:cs="Open Sans"/>
          <w:color w:val="212121"/>
          <w:spacing w:val="2"/>
          <w:sz w:val="21"/>
          <w:szCs w:val="21"/>
        </w:rPr>
      </w:pPr>
      <w:r>
        <w:rPr>
          <w:rFonts w:ascii="Open Sans" w:hAnsi="Open Sans" w:cs="Open Sans"/>
          <w:color w:val="212121"/>
          <w:spacing w:val="2"/>
          <w:sz w:val="21"/>
          <w:szCs w:val="21"/>
        </w:rPr>
        <w:t>Naylor, M. D., &amp; Hirschman, K. B. (2021). The importance of transitional care in achieving high-quality, cost-effective healthcare. </w:t>
      </w:r>
      <w:r>
        <w:rPr>
          <w:rStyle w:val="Emphasis"/>
          <w:rFonts w:ascii="inherit" w:hAnsi="inherit" w:cs="Open Sans"/>
          <w:color w:val="212121"/>
          <w:spacing w:val="2"/>
          <w:sz w:val="21"/>
          <w:szCs w:val="21"/>
          <w:bdr w:val="none" w:sz="0" w:space="0" w:color="auto" w:frame="1"/>
        </w:rPr>
        <w:t>Journal of Nursing Care Quality, 36</w:t>
      </w:r>
      <w:r>
        <w:rPr>
          <w:rFonts w:ascii="Open Sans" w:hAnsi="Open Sans" w:cs="Open Sans"/>
          <w:color w:val="212121"/>
          <w:spacing w:val="2"/>
          <w:sz w:val="21"/>
          <w:szCs w:val="21"/>
        </w:rPr>
        <w:t>(3), 197–203.</w:t>
      </w:r>
    </w:p>
    <w:p w:rsidR="005C4BC4" w:rsidRDefault="005C4BC4" w:rsidP="005C4BC4">
      <w:pPr>
        <w:ind w:left="720" w:hanging="720"/>
      </w:pPr>
    </w:p>
    <w:p w:rsidR="005C4BC4" w:rsidRDefault="005C4BC4" w:rsidP="005C4BC4">
      <w:pPr>
        <w:ind w:left="720" w:hanging="720"/>
      </w:pPr>
    </w:p>
    <w:p w:rsidR="005C4BC4" w:rsidRDefault="005C4BC4" w:rsidP="005C4BC4">
      <w:pPr>
        <w:ind w:left="720" w:hanging="720"/>
      </w:pPr>
    </w:p>
    <w:p w:rsidR="005C4BC4" w:rsidRDefault="005C4BC4" w:rsidP="005C4BC4">
      <w:pPr>
        <w:ind w:left="720" w:hanging="720"/>
      </w:pPr>
    </w:p>
    <w:p w:rsidR="005C4BC4" w:rsidRPr="005C4BC4" w:rsidRDefault="005C4BC4" w:rsidP="005C4BC4">
      <w:pPr>
        <w:pStyle w:val="NormalWeb"/>
        <w:spacing w:before="0" w:beforeAutospacing="0" w:after="0" w:afterAutospacing="0" w:line="360" w:lineRule="auto"/>
        <w:textAlignment w:val="baseline"/>
        <w:rPr>
          <w:b/>
          <w:bCs/>
          <w:color w:val="000000"/>
          <w:spacing w:val="2"/>
          <w:bdr w:val="none" w:sz="0" w:space="0" w:color="auto" w:frame="1"/>
        </w:rPr>
      </w:pPr>
      <w:r w:rsidRPr="005C4BC4">
        <w:rPr>
          <w:b/>
          <w:bCs/>
          <w:color w:val="000000"/>
          <w:spacing w:val="2"/>
          <w:bdr w:val="none" w:sz="0" w:space="0" w:color="auto" w:frame="1"/>
        </w:rPr>
        <w:lastRenderedPageBreak/>
        <w:t>Christina’s Discussion</w:t>
      </w:r>
    </w:p>
    <w:p w:rsidR="005C4BC4" w:rsidRDefault="005C4BC4" w:rsidP="005C4BC4">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color w:val="000000"/>
          <w:spacing w:val="2"/>
          <w:bdr w:val="none" w:sz="0" w:space="0" w:color="auto" w:frame="1"/>
        </w:rPr>
        <w:t>My implementation plan focuses on improving patient education for individuals admitted with critical limb ischemia by providing standardized nurse</w:t>
      </w:r>
      <w:r>
        <w:rPr>
          <w:color w:val="000000"/>
          <w:spacing w:val="2"/>
          <w:bdr w:val="none" w:sz="0" w:space="0" w:color="auto" w:frame="1"/>
        </w:rPr>
        <w:t>-</w:t>
      </w:r>
      <w:r>
        <w:rPr>
          <w:color w:val="000000"/>
          <w:spacing w:val="2"/>
          <w:bdr w:val="none" w:sz="0" w:space="0" w:color="auto" w:frame="1"/>
        </w:rPr>
        <w:t>led education within 24 hours of admission to the hospital. The education will cover foot care, smoking cessation, medication adherence, wound care, recognizing symptoms that require immediate medical attention, and the importance of keeping follow</w:t>
      </w:r>
      <w:r>
        <w:rPr>
          <w:color w:val="000000"/>
          <w:spacing w:val="2"/>
          <w:bdr w:val="none" w:sz="0" w:space="0" w:color="auto" w:frame="1"/>
        </w:rPr>
        <w:t>-</w:t>
      </w:r>
      <w:r>
        <w:rPr>
          <w:color w:val="000000"/>
          <w:spacing w:val="2"/>
          <w:bdr w:val="none" w:sz="0" w:space="0" w:color="auto" w:frame="1"/>
        </w:rPr>
        <w:t>up appointments after discharge. The goal is to give patients and their families the knowledge they need early during hospitalization, so they feel more confident managing their conditions once they go home. The intervention also encourages collaboration among bedside nurses, the CLI navigator, physicians, wound care, case managers</w:t>
      </w:r>
      <w:r>
        <w:rPr>
          <w:color w:val="000000"/>
          <w:spacing w:val="2"/>
          <w:bdr w:val="none" w:sz="0" w:space="0" w:color="auto" w:frame="1"/>
        </w:rPr>
        <w:t xml:space="preserve">, </w:t>
      </w:r>
      <w:r>
        <w:rPr>
          <w:color w:val="000000"/>
          <w:spacing w:val="2"/>
          <w:bdr w:val="none" w:sz="0" w:space="0" w:color="auto" w:frame="1"/>
        </w:rPr>
        <w:t>and community health care providers to improve continuity of care and reduce preventable complications.  </w:t>
      </w:r>
    </w:p>
    <w:p w:rsidR="005C4BC4" w:rsidRDefault="005C4BC4" w:rsidP="005C4BC4">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color w:val="000000"/>
          <w:spacing w:val="2"/>
          <w:bdr w:val="none" w:sz="0" w:space="0" w:color="auto" w:frame="1"/>
        </w:rPr>
        <w:t>Along with the patient education</w:t>
      </w:r>
      <w:r>
        <w:rPr>
          <w:color w:val="000000"/>
          <w:spacing w:val="2"/>
          <w:bdr w:val="none" w:sz="0" w:space="0" w:color="auto" w:frame="1"/>
        </w:rPr>
        <w:t>,</w:t>
      </w:r>
      <w:r>
        <w:rPr>
          <w:color w:val="000000"/>
          <w:spacing w:val="2"/>
          <w:bdr w:val="none" w:sz="0" w:space="0" w:color="auto" w:frame="1"/>
        </w:rPr>
        <w:t> it will also include the evidence</w:t>
      </w:r>
      <w:r>
        <w:rPr>
          <w:color w:val="000000"/>
          <w:spacing w:val="2"/>
          <w:bdr w:val="none" w:sz="0" w:space="0" w:color="auto" w:frame="1"/>
        </w:rPr>
        <w:t>-based</w:t>
      </w:r>
      <w:r>
        <w:rPr>
          <w:color w:val="000000"/>
          <w:spacing w:val="2"/>
          <w:bdr w:val="none" w:sz="0" w:space="0" w:color="auto" w:frame="1"/>
        </w:rPr>
        <w:t xml:space="preserve"> </w:t>
      </w:r>
      <w:r>
        <w:rPr>
          <w:color w:val="000000"/>
          <w:spacing w:val="2"/>
          <w:bdr w:val="none" w:sz="0" w:space="0" w:color="auto" w:frame="1"/>
        </w:rPr>
        <w:t>teach-</w:t>
      </w:r>
      <w:r>
        <w:rPr>
          <w:color w:val="000000"/>
          <w:spacing w:val="2"/>
          <w:bdr w:val="none" w:sz="0" w:space="0" w:color="auto" w:frame="1"/>
        </w:rPr>
        <w:t>back method to verify patient understanding rather than just documenting that the education was performed. The plan will include providing materials that the patients can take home and later reference</w:t>
      </w:r>
      <w:r>
        <w:rPr>
          <w:color w:val="000000"/>
          <w:spacing w:val="2"/>
          <w:bdr w:val="none" w:sz="0" w:space="0" w:color="auto" w:frame="1"/>
        </w:rPr>
        <w:t>,</w:t>
      </w:r>
      <w:r>
        <w:rPr>
          <w:color w:val="000000"/>
          <w:spacing w:val="2"/>
          <w:bdr w:val="none" w:sz="0" w:space="0" w:color="auto" w:frame="1"/>
        </w:rPr>
        <w:t xml:space="preserve"> </w:t>
      </w:r>
      <w:r>
        <w:rPr>
          <w:color w:val="000000"/>
          <w:spacing w:val="2"/>
          <w:bdr w:val="none" w:sz="0" w:space="0" w:color="auto" w:frame="1"/>
        </w:rPr>
        <w:t>which</w:t>
      </w:r>
      <w:r>
        <w:rPr>
          <w:color w:val="000000"/>
          <w:spacing w:val="2"/>
          <w:bdr w:val="none" w:sz="0" w:space="0" w:color="auto" w:frame="1"/>
        </w:rPr>
        <w:t xml:space="preserve"> will be printed in both English and Spanish to meet the needs of the patient population and improve patient literacy when it comes to their own disease. An article states that </w:t>
      </w:r>
      <w:r>
        <w:rPr>
          <w:color w:val="1B1B1B"/>
          <w:spacing w:val="2"/>
          <w:bdr w:val="none" w:sz="0" w:space="0" w:color="auto" w:frame="1"/>
        </w:rPr>
        <w:t>there exists a need to develop updated and thorough yet concise patient education handouts and to encourage healthcare providers to use uniform patient education methods (</w:t>
      </w:r>
      <w:proofErr w:type="spellStart"/>
      <w:r>
        <w:rPr>
          <w:color w:val="1B1B1B"/>
          <w:spacing w:val="2"/>
          <w:bdr w:val="none" w:sz="0" w:space="0" w:color="auto" w:frame="1"/>
        </w:rPr>
        <w:t>Bhattad</w:t>
      </w:r>
      <w:proofErr w:type="spellEnd"/>
      <w:r>
        <w:rPr>
          <w:color w:val="1B1B1B"/>
          <w:spacing w:val="2"/>
          <w:bdr w:val="none" w:sz="0" w:space="0" w:color="auto" w:frame="1"/>
        </w:rPr>
        <w:t>, et al., 2022).  </w:t>
      </w:r>
    </w:p>
    <w:p w:rsidR="005C4BC4" w:rsidRDefault="005C4BC4" w:rsidP="005C4BC4">
      <w:pPr>
        <w:pStyle w:val="NormalWeb"/>
        <w:spacing w:before="0" w:beforeAutospacing="0" w:after="0" w:afterAutospacing="0" w:line="360" w:lineRule="atLeast"/>
        <w:textAlignment w:val="baseline"/>
        <w:rPr>
          <w:color w:val="000000"/>
          <w:spacing w:val="2"/>
          <w:bdr w:val="none" w:sz="0" w:space="0" w:color="auto" w:frame="1"/>
        </w:rPr>
      </w:pPr>
      <w:r>
        <w:rPr>
          <w:color w:val="000000"/>
          <w:spacing w:val="2"/>
          <w:bdr w:val="none" w:sz="0" w:space="0" w:color="auto" w:frame="1"/>
        </w:rPr>
        <w:t>One of the items that I would like to emphasize more in my implementation plan is to screen patients and provide more community resources, such as home health services, outpatient wound clinics, and smoking cessation programs. </w:t>
      </w:r>
      <w:r>
        <w:rPr>
          <w:color w:val="1B1B1B"/>
          <w:spacing w:val="2"/>
          <w:bdr w:val="none" w:sz="0" w:space="0" w:color="auto" w:frame="1"/>
        </w:rPr>
        <w:t>By screening patients for social risks during routine healthcare, providers can systematically identify their social needs and provide subsequent social care via referrals to social services for necessary resources, potentially improving patient health outcomes (</w:t>
      </w:r>
      <w:proofErr w:type="spellStart"/>
      <w:r>
        <w:rPr>
          <w:color w:val="1B1B1B"/>
          <w:spacing w:val="2"/>
          <w:bdr w:val="none" w:sz="0" w:space="0" w:color="auto" w:frame="1"/>
        </w:rPr>
        <w:t>Iott</w:t>
      </w:r>
      <w:proofErr w:type="spellEnd"/>
      <w:r>
        <w:rPr>
          <w:color w:val="1B1B1B"/>
          <w:spacing w:val="2"/>
          <w:bdr w:val="none" w:sz="0" w:space="0" w:color="auto" w:frame="1"/>
        </w:rPr>
        <w:t>, et al., 2021). </w:t>
      </w:r>
      <w:r>
        <w:rPr>
          <w:color w:val="000000"/>
          <w:spacing w:val="2"/>
          <w:bdr w:val="none" w:sz="0" w:space="0" w:color="auto" w:frame="1"/>
        </w:rPr>
        <w:t>In summation, this implementation plan will support safe transition of care when released from the hospital as well as improved patient outcomes.  </w:t>
      </w:r>
    </w:p>
    <w:p w:rsidR="005C4BC4" w:rsidRDefault="005C4BC4" w:rsidP="005C4BC4">
      <w:pPr>
        <w:pStyle w:val="NormalWeb"/>
        <w:spacing w:before="0" w:beforeAutospacing="0" w:after="0" w:afterAutospacing="0" w:line="360" w:lineRule="atLeast"/>
        <w:textAlignment w:val="baseline"/>
        <w:rPr>
          <w:rFonts w:ascii="Open Sans" w:hAnsi="Open Sans" w:cs="Open Sans"/>
          <w:color w:val="000000"/>
          <w:spacing w:val="2"/>
          <w:sz w:val="21"/>
          <w:szCs w:val="21"/>
        </w:rPr>
      </w:pPr>
    </w:p>
    <w:p w:rsidR="005C4BC4" w:rsidRPr="005C4BC4" w:rsidRDefault="005C4BC4" w:rsidP="005C4BC4">
      <w:pPr>
        <w:pStyle w:val="NormalWeb"/>
        <w:spacing w:before="0" w:beforeAutospacing="0" w:after="0" w:afterAutospacing="0" w:line="360" w:lineRule="atLeast"/>
        <w:textAlignment w:val="baseline"/>
        <w:rPr>
          <w:rFonts w:ascii="Open Sans" w:hAnsi="Open Sans" w:cs="Open Sans"/>
          <w:b/>
          <w:bCs/>
          <w:color w:val="000000"/>
          <w:spacing w:val="2"/>
          <w:sz w:val="21"/>
          <w:szCs w:val="21"/>
        </w:rPr>
      </w:pPr>
      <w:r w:rsidRPr="005C4BC4">
        <w:rPr>
          <w:b/>
          <w:bCs/>
          <w:color w:val="000000"/>
          <w:spacing w:val="2"/>
          <w:bdr w:val="none" w:sz="0" w:space="0" w:color="auto" w:frame="1"/>
        </w:rPr>
        <w:t>References:  </w:t>
      </w:r>
    </w:p>
    <w:p w:rsidR="005C4BC4" w:rsidRDefault="005C4BC4" w:rsidP="005C4BC4">
      <w:pPr>
        <w:pStyle w:val="NormalWeb"/>
        <w:spacing w:before="0" w:beforeAutospacing="0" w:after="0" w:afterAutospacing="0" w:line="360" w:lineRule="atLeast"/>
        <w:ind w:left="720" w:hanging="720"/>
        <w:textAlignment w:val="baseline"/>
        <w:rPr>
          <w:rFonts w:ascii="Open Sans" w:hAnsi="Open Sans" w:cs="Open Sans"/>
          <w:color w:val="000000"/>
          <w:spacing w:val="2"/>
          <w:sz w:val="21"/>
          <w:szCs w:val="21"/>
        </w:rPr>
      </w:pPr>
      <w:proofErr w:type="spellStart"/>
      <w:r>
        <w:rPr>
          <w:color w:val="1B1B1B"/>
          <w:spacing w:val="2"/>
          <w:bdr w:val="none" w:sz="0" w:space="0" w:color="auto" w:frame="1"/>
        </w:rPr>
        <w:t>Bhattad</w:t>
      </w:r>
      <w:proofErr w:type="spellEnd"/>
      <w:r>
        <w:rPr>
          <w:color w:val="1B1B1B"/>
          <w:spacing w:val="2"/>
          <w:bdr w:val="none" w:sz="0" w:space="0" w:color="auto" w:frame="1"/>
        </w:rPr>
        <w:t xml:space="preserve">, P. B., &amp; </w:t>
      </w:r>
      <w:proofErr w:type="spellStart"/>
      <w:r>
        <w:rPr>
          <w:color w:val="1B1B1B"/>
          <w:spacing w:val="2"/>
          <w:bdr w:val="none" w:sz="0" w:space="0" w:color="auto" w:frame="1"/>
        </w:rPr>
        <w:t>Pacifico</w:t>
      </w:r>
      <w:proofErr w:type="spellEnd"/>
      <w:r>
        <w:rPr>
          <w:color w:val="1B1B1B"/>
          <w:spacing w:val="2"/>
          <w:bdr w:val="none" w:sz="0" w:space="0" w:color="auto" w:frame="1"/>
        </w:rPr>
        <w:t>, L. (2022). Empowering Patients: Promoting Patient Education and Health Literacy. </w:t>
      </w:r>
      <w:proofErr w:type="spellStart"/>
      <w:r>
        <w:rPr>
          <w:rStyle w:val="Emphasis"/>
          <w:rFonts w:ascii="inherit" w:hAnsi="inherit"/>
          <w:color w:val="000000"/>
          <w:spacing w:val="2"/>
          <w:bdr w:val="none" w:sz="0" w:space="0" w:color="auto" w:frame="1"/>
        </w:rPr>
        <w:t>Cureus</w:t>
      </w:r>
      <w:proofErr w:type="spellEnd"/>
      <w:r>
        <w:rPr>
          <w:color w:val="1B1B1B"/>
          <w:spacing w:val="2"/>
          <w:bdr w:val="none" w:sz="0" w:space="0" w:color="auto" w:frame="1"/>
        </w:rPr>
        <w:t>, </w:t>
      </w:r>
      <w:r>
        <w:rPr>
          <w:rStyle w:val="Emphasis"/>
          <w:rFonts w:ascii="inherit" w:hAnsi="inherit"/>
          <w:color w:val="000000"/>
          <w:spacing w:val="2"/>
          <w:bdr w:val="none" w:sz="0" w:space="0" w:color="auto" w:frame="1"/>
        </w:rPr>
        <w:t>14</w:t>
      </w:r>
      <w:r>
        <w:rPr>
          <w:color w:val="1B1B1B"/>
          <w:spacing w:val="2"/>
          <w:bdr w:val="none" w:sz="0" w:space="0" w:color="auto" w:frame="1"/>
        </w:rPr>
        <w:t>(7), e27336. </w:t>
      </w:r>
      <w:hyperlink r:id="rId6" w:tgtFrame="_blank" w:history="1">
        <w:r>
          <w:rPr>
            <w:rStyle w:val="Hyperlink"/>
            <w:color w:val="1B1B1B"/>
            <w:spacing w:val="2"/>
            <w:bdr w:val="none" w:sz="0" w:space="0" w:color="auto" w:frame="1"/>
          </w:rPr>
          <w:t>https://doi.org/10.7759/cureus.27336</w:t>
        </w:r>
      </w:hyperlink>
      <w:r>
        <w:rPr>
          <w:color w:val="000000"/>
          <w:spacing w:val="2"/>
          <w:bdr w:val="none" w:sz="0" w:space="0" w:color="auto" w:frame="1"/>
        </w:rPr>
        <w:t> </w:t>
      </w:r>
    </w:p>
    <w:p w:rsidR="005C4BC4" w:rsidRDefault="005C4BC4" w:rsidP="005C4BC4">
      <w:pPr>
        <w:pStyle w:val="NormalWeb"/>
        <w:spacing w:before="0" w:beforeAutospacing="0" w:after="0" w:afterAutospacing="0" w:line="360" w:lineRule="atLeast"/>
        <w:ind w:left="720" w:hanging="720"/>
        <w:textAlignment w:val="baseline"/>
        <w:rPr>
          <w:color w:val="1B1B1B"/>
          <w:spacing w:val="2"/>
          <w:bdr w:val="none" w:sz="0" w:space="0" w:color="auto" w:frame="1"/>
        </w:rPr>
      </w:pPr>
      <w:proofErr w:type="spellStart"/>
      <w:r>
        <w:rPr>
          <w:color w:val="1B1B1B"/>
          <w:spacing w:val="2"/>
          <w:bdr w:val="none" w:sz="0" w:space="0" w:color="auto" w:frame="1"/>
        </w:rPr>
        <w:t>Iott</w:t>
      </w:r>
      <w:proofErr w:type="spellEnd"/>
      <w:r>
        <w:rPr>
          <w:color w:val="1B1B1B"/>
          <w:spacing w:val="2"/>
          <w:bdr w:val="none" w:sz="0" w:space="0" w:color="auto" w:frame="1"/>
        </w:rPr>
        <w:t xml:space="preserve">, B. E., Eddy, C., Casanova, C., &amp; </w:t>
      </w:r>
      <w:proofErr w:type="spellStart"/>
      <w:r>
        <w:rPr>
          <w:color w:val="1B1B1B"/>
          <w:spacing w:val="2"/>
          <w:bdr w:val="none" w:sz="0" w:space="0" w:color="auto" w:frame="1"/>
        </w:rPr>
        <w:t>Veinot</w:t>
      </w:r>
      <w:proofErr w:type="spellEnd"/>
      <w:r>
        <w:rPr>
          <w:color w:val="1B1B1B"/>
          <w:spacing w:val="2"/>
          <w:bdr w:val="none" w:sz="0" w:space="0" w:color="auto" w:frame="1"/>
        </w:rPr>
        <w:t>, T. C. (2021). More than a Database: Understanding Community Resource Referrals within a Socio-Technical Systems Framework. </w:t>
      </w:r>
      <w:r>
        <w:rPr>
          <w:rStyle w:val="Emphasis"/>
          <w:rFonts w:ascii="inherit" w:hAnsi="inherit"/>
          <w:color w:val="000000"/>
          <w:spacing w:val="2"/>
          <w:bdr w:val="none" w:sz="0" w:space="0" w:color="auto" w:frame="1"/>
        </w:rPr>
        <w:t>AMIA ... Annual Symposium proceedings. AMIA Symposium</w:t>
      </w:r>
      <w:r>
        <w:rPr>
          <w:color w:val="1B1B1B"/>
          <w:spacing w:val="2"/>
          <w:bdr w:val="none" w:sz="0" w:space="0" w:color="auto" w:frame="1"/>
        </w:rPr>
        <w:t>, </w:t>
      </w:r>
      <w:r>
        <w:rPr>
          <w:rStyle w:val="Emphasis"/>
          <w:rFonts w:ascii="inherit" w:hAnsi="inherit"/>
          <w:color w:val="000000"/>
          <w:spacing w:val="2"/>
          <w:bdr w:val="none" w:sz="0" w:space="0" w:color="auto" w:frame="1"/>
        </w:rPr>
        <w:t>2020</w:t>
      </w:r>
      <w:r>
        <w:rPr>
          <w:color w:val="1B1B1B"/>
          <w:spacing w:val="2"/>
          <w:bdr w:val="none" w:sz="0" w:space="0" w:color="auto" w:frame="1"/>
        </w:rPr>
        <w:t>, 583–592.</w:t>
      </w:r>
      <w:r>
        <w:rPr>
          <w:color w:val="1B1B1B"/>
          <w:spacing w:val="2"/>
          <w:bdr w:val="none" w:sz="0" w:space="0" w:color="auto" w:frame="1"/>
        </w:rPr>
        <w:t xml:space="preserve"> </w:t>
      </w:r>
    </w:p>
    <w:p w:rsidR="005C4BC4" w:rsidRDefault="005C4BC4" w:rsidP="005C4BC4">
      <w:pPr>
        <w:pStyle w:val="NormalWeb"/>
        <w:shd w:val="clear" w:color="auto" w:fill="FFFFFF"/>
        <w:spacing w:before="0" w:beforeAutospacing="0" w:after="0" w:afterAutospacing="0" w:line="276" w:lineRule="atLeast"/>
        <w:rPr>
          <w:color w:val="1B1B1B"/>
          <w:spacing w:val="2"/>
          <w:bdr w:val="none" w:sz="0" w:space="0" w:color="auto" w:frame="1"/>
        </w:rPr>
      </w:pPr>
    </w:p>
    <w:p w:rsidR="005C4BC4" w:rsidRDefault="005C4BC4" w:rsidP="005C4BC4">
      <w:pPr>
        <w:pStyle w:val="NormalWeb"/>
        <w:shd w:val="clear" w:color="auto" w:fill="FFFFFF"/>
        <w:spacing w:before="0" w:beforeAutospacing="0" w:after="0" w:afterAutospacing="0" w:line="276" w:lineRule="atLeast"/>
        <w:rPr>
          <w:b/>
          <w:bCs/>
          <w:color w:val="212121"/>
          <w:spacing w:val="2"/>
          <w:bdr w:val="none" w:sz="0" w:space="0" w:color="auto" w:frame="1"/>
        </w:rPr>
      </w:pPr>
      <w:r w:rsidRPr="005C4BC4">
        <w:rPr>
          <w:b/>
          <w:bCs/>
          <w:color w:val="212121"/>
          <w:spacing w:val="2"/>
          <w:bdr w:val="none" w:sz="0" w:space="0" w:color="auto" w:frame="1"/>
        </w:rPr>
        <w:lastRenderedPageBreak/>
        <w:t>John’s Discussion</w:t>
      </w:r>
    </w:p>
    <w:p w:rsidR="005C4BC4" w:rsidRPr="005C4BC4" w:rsidRDefault="005C4BC4" w:rsidP="005C4BC4">
      <w:pPr>
        <w:pStyle w:val="NormalWeb"/>
        <w:shd w:val="clear" w:color="auto" w:fill="FFFFFF"/>
        <w:spacing w:before="0" w:beforeAutospacing="0" w:after="0" w:afterAutospacing="0" w:line="276" w:lineRule="atLeast"/>
        <w:rPr>
          <w:b/>
          <w:bCs/>
          <w:color w:val="212121"/>
          <w:spacing w:val="2"/>
          <w:bdr w:val="none" w:sz="0" w:space="0" w:color="auto" w:frame="1"/>
        </w:rPr>
      </w:pPr>
    </w:p>
    <w:p w:rsidR="005C4BC4" w:rsidRDefault="005C4BC4" w:rsidP="005C4BC4">
      <w:pPr>
        <w:pStyle w:val="NormalWeb"/>
        <w:shd w:val="clear" w:color="auto" w:fill="FFFFFF"/>
        <w:spacing w:before="0" w:beforeAutospacing="0" w:after="0" w:afterAutospacing="0" w:line="360" w:lineRule="auto"/>
        <w:rPr>
          <w:rFonts w:ascii="Aptos" w:hAnsi="Aptos"/>
          <w:color w:val="212121"/>
          <w:spacing w:val="2"/>
        </w:rPr>
      </w:pPr>
      <w:r>
        <w:rPr>
          <w:color w:val="212121"/>
          <w:spacing w:val="2"/>
          <w:bdr w:val="none" w:sz="0" w:space="0" w:color="auto" w:frame="1"/>
        </w:rPr>
        <w:t>At this stage, the plan is less about creating a telemedicine service and more about strengthening the workflow used in Mayo Clinic Family Medicine. The rollout would begin by reviewing the nurse-led weight management visit and placing a GLP-1 education checklist where it fits. During the visit, the nurse would review medication purpose, dosing expectations, side effects, urgent symptoms, lifestyle goals, and follow-up needs. Teach-back would verify understanding, while a technology readiness screen would identify patients needing portal assistance, interpreter services, hearing accommodations, caregiver support, or a telephone backup. Follow-up completion and documentation would be tracked over eight weeks.</w:t>
      </w:r>
    </w:p>
    <w:p w:rsidR="005C4BC4" w:rsidRDefault="005C4BC4" w:rsidP="005C4BC4">
      <w:pPr>
        <w:pStyle w:val="NormalWeb"/>
        <w:shd w:val="clear" w:color="auto" w:fill="FFFFFF"/>
        <w:spacing w:before="0" w:beforeAutospacing="0" w:after="0" w:afterAutospacing="0" w:line="360" w:lineRule="auto"/>
        <w:rPr>
          <w:rFonts w:ascii="Aptos" w:hAnsi="Aptos"/>
          <w:color w:val="212121"/>
          <w:spacing w:val="2"/>
        </w:rPr>
      </w:pPr>
      <w:r>
        <w:rPr>
          <w:color w:val="212121"/>
          <w:spacing w:val="2"/>
          <w:bdr w:val="none" w:sz="0" w:space="0" w:color="auto" w:frame="1"/>
        </w:rPr>
        <w:t>Based on how my preceptor approaches change, I would add a pilot before applying the plan across the program. One or two nurses could test the checklist, teach-back prompts, and documentation template with a patient group. A debrief after several visits would allow nurses to identify duplicated charting, unclear escalation steps, or questions that do not fit the visit flow. This reflects my preceptor’s preference for staff critique before adding workflow steps.</w:t>
      </w:r>
    </w:p>
    <w:p w:rsidR="005C4BC4" w:rsidRDefault="005C4BC4" w:rsidP="005C4BC4">
      <w:pPr>
        <w:pStyle w:val="NormalWeb"/>
        <w:shd w:val="clear" w:color="auto" w:fill="FFFFFF"/>
        <w:spacing w:before="0" w:beforeAutospacing="0" w:after="0" w:afterAutospacing="0" w:line="360" w:lineRule="auto"/>
        <w:rPr>
          <w:rFonts w:ascii="Aptos" w:hAnsi="Aptos"/>
          <w:color w:val="212121"/>
          <w:spacing w:val="2"/>
        </w:rPr>
      </w:pPr>
      <w:r>
        <w:rPr>
          <w:color w:val="212121"/>
          <w:spacing w:val="2"/>
          <w:bdr w:val="none" w:sz="0" w:space="0" w:color="auto" w:frame="1"/>
        </w:rPr>
        <w:t>Barksdale et al. (2023) found that telehealth</w:t>
      </w:r>
      <w:r>
        <w:rPr>
          <w:color w:val="212121"/>
          <w:spacing w:val="2"/>
          <w:bdr w:val="none" w:sz="0" w:space="0" w:color="auto" w:frame="1"/>
        </w:rPr>
        <w:t>-</w:t>
      </w:r>
      <w:r>
        <w:rPr>
          <w:color w:val="212121"/>
          <w:spacing w:val="2"/>
          <w:bdr w:val="none" w:sz="0" w:space="0" w:color="auto" w:frame="1"/>
        </w:rPr>
        <w:t>focused teach-back training was feasible in family medicine and strengthened communication during remote visits. Mao et al. (2022) found that older adults face telehealth barriers involving technology readiness, language, hearing, access, and the need for individualized assistance. I would retain the readiness screen but revise it after the pilot rather than assuming the first version will work for every patient. This keeps the project structured while allowing staff and patient needs to shape the workflow.</w:t>
      </w:r>
    </w:p>
    <w:p w:rsidR="005C4BC4" w:rsidRPr="005C4BC4" w:rsidRDefault="005C4BC4" w:rsidP="005C4BC4">
      <w:pPr>
        <w:pStyle w:val="NormalWeb"/>
        <w:shd w:val="clear" w:color="auto" w:fill="FFFFFF"/>
        <w:spacing w:before="0" w:beforeAutospacing="0" w:after="0" w:afterAutospacing="0" w:line="360" w:lineRule="auto"/>
        <w:rPr>
          <w:rFonts w:ascii="Aptos" w:hAnsi="Aptos"/>
          <w:b/>
          <w:bCs/>
          <w:color w:val="212121"/>
          <w:spacing w:val="2"/>
        </w:rPr>
      </w:pPr>
      <w:r w:rsidRPr="005C4BC4">
        <w:rPr>
          <w:b/>
          <w:bCs/>
          <w:color w:val="212121"/>
          <w:spacing w:val="2"/>
          <w:bdr w:val="none" w:sz="0" w:space="0" w:color="auto" w:frame="1"/>
        </w:rPr>
        <w:t>References</w:t>
      </w:r>
    </w:p>
    <w:p w:rsidR="005C4BC4" w:rsidRDefault="005C4BC4" w:rsidP="005C4BC4">
      <w:pPr>
        <w:pStyle w:val="NormalWeb"/>
        <w:shd w:val="clear" w:color="auto" w:fill="FFFFFF"/>
        <w:spacing w:before="0" w:beforeAutospacing="0" w:after="0" w:afterAutospacing="0" w:line="360" w:lineRule="auto"/>
        <w:ind w:left="720" w:hanging="720"/>
        <w:rPr>
          <w:rFonts w:ascii="Aptos" w:hAnsi="Aptos"/>
          <w:color w:val="212121"/>
          <w:spacing w:val="2"/>
        </w:rPr>
      </w:pPr>
      <w:r>
        <w:rPr>
          <w:color w:val="212121"/>
          <w:spacing w:val="2"/>
          <w:bdr w:val="none" w:sz="0" w:space="0" w:color="auto" w:frame="1"/>
        </w:rPr>
        <w:t xml:space="preserve">Barksdale, S., Stark Taylor, S., Criss, S., Kemper, K., Friedman, D. B., Thompson, W., </w:t>
      </w:r>
      <w:proofErr w:type="spellStart"/>
      <w:r>
        <w:rPr>
          <w:color w:val="212121"/>
          <w:spacing w:val="2"/>
          <w:bdr w:val="none" w:sz="0" w:space="0" w:color="auto" w:frame="1"/>
        </w:rPr>
        <w:t>Donelle</w:t>
      </w:r>
      <w:proofErr w:type="spellEnd"/>
      <w:r>
        <w:rPr>
          <w:color w:val="212121"/>
          <w:spacing w:val="2"/>
          <w:bdr w:val="none" w:sz="0" w:space="0" w:color="auto" w:frame="1"/>
        </w:rPr>
        <w:t xml:space="preserve">, L., MacGilvray, P., &amp; </w:t>
      </w:r>
      <w:proofErr w:type="spellStart"/>
      <w:r>
        <w:rPr>
          <w:color w:val="212121"/>
          <w:spacing w:val="2"/>
          <w:bdr w:val="none" w:sz="0" w:space="0" w:color="auto" w:frame="1"/>
        </w:rPr>
        <w:t>Natafgi</w:t>
      </w:r>
      <w:proofErr w:type="spellEnd"/>
      <w:r>
        <w:rPr>
          <w:color w:val="212121"/>
          <w:spacing w:val="2"/>
          <w:bdr w:val="none" w:sz="0" w:space="0" w:color="auto" w:frame="1"/>
        </w:rPr>
        <w:t>, N. (2023). Improving patient health literacy during telehealth visits through remote teach-back methods training for family medicine residents: Pilot 2-arm cluster, nonrandomized controlled trial.  </w:t>
      </w:r>
      <w:r>
        <w:rPr>
          <w:rStyle w:val="Emphasis"/>
          <w:rFonts w:ascii="inherit" w:hAnsi="inherit"/>
          <w:color w:val="212121"/>
          <w:spacing w:val="2"/>
          <w:bdr w:val="none" w:sz="0" w:space="0" w:color="auto" w:frame="1"/>
        </w:rPr>
        <w:t>JMIR Formative Research</w:t>
      </w:r>
      <w:r>
        <w:rPr>
          <w:color w:val="212121"/>
          <w:spacing w:val="2"/>
          <w:bdr w:val="none" w:sz="0" w:space="0" w:color="auto" w:frame="1"/>
        </w:rPr>
        <w:t>, </w:t>
      </w:r>
      <w:r>
        <w:rPr>
          <w:rStyle w:val="Emphasis"/>
          <w:rFonts w:ascii="inherit" w:hAnsi="inherit"/>
          <w:color w:val="212121"/>
          <w:spacing w:val="2"/>
          <w:bdr w:val="none" w:sz="0" w:space="0" w:color="auto" w:frame="1"/>
        </w:rPr>
        <w:t>7</w:t>
      </w:r>
      <w:r>
        <w:rPr>
          <w:color w:val="212121"/>
          <w:spacing w:val="2"/>
          <w:bdr w:val="none" w:sz="0" w:space="0" w:color="auto" w:frame="1"/>
        </w:rPr>
        <w:t>, e51541. </w:t>
      </w:r>
      <w:hyperlink r:id="rId7" w:tgtFrame="_blank" w:history="1">
        <w:r>
          <w:rPr>
            <w:rStyle w:val="Hyperlink"/>
            <w:color w:val="1A65B0"/>
            <w:spacing w:val="2"/>
            <w:bdr w:val="none" w:sz="0" w:space="0" w:color="auto" w:frame="1"/>
          </w:rPr>
          <w:t>https://doi-org.lopes.idm.oclc.org/10.2196/51541</w:t>
        </w:r>
      </w:hyperlink>
    </w:p>
    <w:p w:rsidR="005C4BC4" w:rsidRDefault="005C4BC4" w:rsidP="005C4BC4">
      <w:pPr>
        <w:pStyle w:val="NormalWeb"/>
        <w:shd w:val="clear" w:color="auto" w:fill="FFFFFF"/>
        <w:spacing w:before="0" w:beforeAutospacing="0" w:after="0" w:afterAutospacing="0" w:line="360" w:lineRule="auto"/>
        <w:ind w:left="720" w:hanging="720"/>
        <w:rPr>
          <w:rFonts w:ascii="Aptos" w:hAnsi="Aptos"/>
          <w:color w:val="212121"/>
          <w:spacing w:val="2"/>
        </w:rPr>
      </w:pPr>
      <w:r>
        <w:rPr>
          <w:color w:val="212121"/>
          <w:spacing w:val="2"/>
          <w:bdr w:val="none" w:sz="0" w:space="0" w:color="auto" w:frame="1"/>
        </w:rPr>
        <w:t xml:space="preserve">Mao, A., Tam, L., Xu, A., Osborn, K., </w:t>
      </w:r>
      <w:proofErr w:type="spellStart"/>
      <w:r>
        <w:rPr>
          <w:color w:val="212121"/>
          <w:spacing w:val="2"/>
          <w:bdr w:val="none" w:sz="0" w:space="0" w:color="auto" w:frame="1"/>
        </w:rPr>
        <w:t>Sheffrin</w:t>
      </w:r>
      <w:proofErr w:type="spellEnd"/>
      <w:r>
        <w:rPr>
          <w:color w:val="212121"/>
          <w:spacing w:val="2"/>
          <w:bdr w:val="none" w:sz="0" w:space="0" w:color="auto" w:frame="1"/>
        </w:rPr>
        <w:t xml:space="preserve">, M., Gould, C., Schillinger, E., Martin, M., &amp; </w:t>
      </w:r>
      <w:proofErr w:type="spellStart"/>
      <w:r>
        <w:rPr>
          <w:color w:val="212121"/>
          <w:spacing w:val="2"/>
          <w:bdr w:val="none" w:sz="0" w:space="0" w:color="auto" w:frame="1"/>
        </w:rPr>
        <w:t>Mesias</w:t>
      </w:r>
      <w:proofErr w:type="spellEnd"/>
      <w:r>
        <w:rPr>
          <w:color w:val="212121"/>
          <w:spacing w:val="2"/>
          <w:bdr w:val="none" w:sz="0" w:space="0" w:color="auto" w:frame="1"/>
        </w:rPr>
        <w:t>, M. (2022). Barriers to telemedicine video visits for older adults in independent living facilities: Mixed methods cross-sectional needs assessment.  </w:t>
      </w:r>
      <w:r>
        <w:rPr>
          <w:rStyle w:val="Emphasis"/>
          <w:rFonts w:ascii="inherit" w:hAnsi="inherit"/>
          <w:color w:val="212121"/>
          <w:spacing w:val="2"/>
          <w:bdr w:val="none" w:sz="0" w:space="0" w:color="auto" w:frame="1"/>
        </w:rPr>
        <w:t>JMIR Aging</w:t>
      </w:r>
      <w:r>
        <w:rPr>
          <w:color w:val="212121"/>
          <w:spacing w:val="2"/>
          <w:bdr w:val="none" w:sz="0" w:space="0" w:color="auto" w:frame="1"/>
        </w:rPr>
        <w:t>, </w:t>
      </w:r>
      <w:r>
        <w:rPr>
          <w:rStyle w:val="Emphasis"/>
          <w:rFonts w:ascii="inherit" w:hAnsi="inherit"/>
          <w:color w:val="212121"/>
          <w:spacing w:val="2"/>
          <w:bdr w:val="none" w:sz="0" w:space="0" w:color="auto" w:frame="1"/>
        </w:rPr>
        <w:t>5</w:t>
      </w:r>
      <w:r>
        <w:rPr>
          <w:color w:val="212121"/>
          <w:spacing w:val="2"/>
          <w:bdr w:val="none" w:sz="0" w:space="0" w:color="auto" w:frame="1"/>
        </w:rPr>
        <w:t>(2), e34326. </w:t>
      </w:r>
      <w:hyperlink r:id="rId8" w:tgtFrame="_blank" w:history="1">
        <w:r>
          <w:rPr>
            <w:rStyle w:val="Hyperlink"/>
            <w:color w:val="1A65B0"/>
            <w:spacing w:val="2"/>
            <w:bdr w:val="none" w:sz="0" w:space="0" w:color="auto" w:frame="1"/>
          </w:rPr>
          <w:t>https://doi-org.lopes.idm.oclc.org/10.2196/34326</w:t>
        </w:r>
      </w:hyperlink>
    </w:p>
    <w:p w:rsidR="005C4BC4" w:rsidRDefault="005C4BC4" w:rsidP="005C4BC4"/>
    <w:sectPr w:rsidR="005C4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1C"/>
    <w:rsid w:val="005C4BC4"/>
    <w:rsid w:val="00625DE6"/>
    <w:rsid w:val="006451FF"/>
    <w:rsid w:val="008E4388"/>
    <w:rsid w:val="00B72657"/>
    <w:rsid w:val="00B7721C"/>
    <w:rsid w:val="00F4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67402"/>
  <w15:chartTrackingRefBased/>
  <w15:docId w15:val="{F823D94A-722A-1341-845F-8C8ADB7E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21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E4388"/>
    <w:rPr>
      <w:i/>
      <w:iCs/>
    </w:rPr>
  </w:style>
  <w:style w:type="character" w:styleId="Hyperlink">
    <w:name w:val="Hyperlink"/>
    <w:basedOn w:val="DefaultParagraphFont"/>
    <w:uiPriority w:val="99"/>
    <w:semiHidden/>
    <w:unhideWhenUsed/>
    <w:rsid w:val="008E4388"/>
    <w:rPr>
      <w:color w:val="0000FF"/>
      <w:u w:val="single"/>
    </w:rPr>
  </w:style>
  <w:style w:type="character" w:styleId="Strong">
    <w:name w:val="Strong"/>
    <w:basedOn w:val="DefaultParagraphFont"/>
    <w:uiPriority w:val="22"/>
    <w:qFormat/>
    <w:rsid w:val="005C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5388">
      <w:bodyDiv w:val="1"/>
      <w:marLeft w:val="0"/>
      <w:marRight w:val="0"/>
      <w:marTop w:val="0"/>
      <w:marBottom w:val="0"/>
      <w:divBdr>
        <w:top w:val="none" w:sz="0" w:space="0" w:color="auto"/>
        <w:left w:val="none" w:sz="0" w:space="0" w:color="auto"/>
        <w:bottom w:val="none" w:sz="0" w:space="0" w:color="auto"/>
        <w:right w:val="none" w:sz="0" w:space="0" w:color="auto"/>
      </w:divBdr>
    </w:div>
    <w:div w:id="210920384">
      <w:bodyDiv w:val="1"/>
      <w:marLeft w:val="0"/>
      <w:marRight w:val="0"/>
      <w:marTop w:val="0"/>
      <w:marBottom w:val="0"/>
      <w:divBdr>
        <w:top w:val="none" w:sz="0" w:space="0" w:color="auto"/>
        <w:left w:val="none" w:sz="0" w:space="0" w:color="auto"/>
        <w:bottom w:val="none" w:sz="0" w:space="0" w:color="auto"/>
        <w:right w:val="none" w:sz="0" w:space="0" w:color="auto"/>
      </w:divBdr>
    </w:div>
    <w:div w:id="388192694">
      <w:bodyDiv w:val="1"/>
      <w:marLeft w:val="0"/>
      <w:marRight w:val="0"/>
      <w:marTop w:val="0"/>
      <w:marBottom w:val="0"/>
      <w:divBdr>
        <w:top w:val="none" w:sz="0" w:space="0" w:color="auto"/>
        <w:left w:val="none" w:sz="0" w:space="0" w:color="auto"/>
        <w:bottom w:val="none" w:sz="0" w:space="0" w:color="auto"/>
        <w:right w:val="none" w:sz="0" w:space="0" w:color="auto"/>
      </w:divBdr>
    </w:div>
    <w:div w:id="1343164187">
      <w:bodyDiv w:val="1"/>
      <w:marLeft w:val="0"/>
      <w:marRight w:val="0"/>
      <w:marTop w:val="0"/>
      <w:marBottom w:val="0"/>
      <w:divBdr>
        <w:top w:val="none" w:sz="0" w:space="0" w:color="auto"/>
        <w:left w:val="none" w:sz="0" w:space="0" w:color="auto"/>
        <w:bottom w:val="none" w:sz="0" w:space="0" w:color="auto"/>
        <w:right w:val="none" w:sz="0" w:space="0" w:color="auto"/>
      </w:divBdr>
    </w:div>
    <w:div w:id="21374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lopes.idm.oclc.org/10.2196/34326" TargetMode="External"/><Relationship Id="rId3" Type="http://schemas.openxmlformats.org/officeDocument/2006/relationships/webSettings" Target="webSettings.xml"/><Relationship Id="rId7" Type="http://schemas.openxmlformats.org/officeDocument/2006/relationships/hyperlink" Target="https://doi-org.lopes.idm.oclc.org/10.2196/515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759/cureus.27336" TargetMode="External"/><Relationship Id="rId5" Type="http://schemas.openxmlformats.org/officeDocument/2006/relationships/hyperlink" Target="https://academic.oup.com/ageing/article/52/11/afad185/7425517" TargetMode="External"/><Relationship Id="rId10" Type="http://schemas.openxmlformats.org/officeDocument/2006/relationships/theme" Target="theme/theme1.xml"/><Relationship Id="rId4" Type="http://schemas.openxmlformats.org/officeDocument/2006/relationships/hyperlink" Target="https://link.springer.com/article/10.1186/s12877-023-03738-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2026-07-24T19:23:00Z</dcterms:created>
  <dcterms:modified xsi:type="dcterms:W3CDTF">2026-07-24T19:23:00Z</dcterms:modified>
</cp:coreProperties>
</file>