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B0C" w:rsidRDefault="00524B0C"/>
    <w:p w:rsidR="00524B0C" w:rsidRDefault="00524B0C"/>
    <w:p w:rsidR="00524B0C" w:rsidRDefault="00524B0C"/>
    <w:p w:rsidR="00524B0C" w:rsidRDefault="00524B0C"/>
    <w:p w:rsidR="00524B0C" w:rsidRDefault="00524B0C"/>
    <w:p w:rsidR="00524B0C" w:rsidRDefault="00000000">
      <w:pPr>
        <w:spacing w:after="160"/>
        <w:jc w:val="center"/>
      </w:pPr>
      <w:r>
        <w:rPr>
          <w:b/>
          <w:color w:val="1F4D78"/>
          <w:sz w:val="60"/>
        </w:rPr>
        <w:t>Doctors Without Borders</w:t>
      </w:r>
    </w:p>
    <w:p w:rsidR="00524B0C" w:rsidRDefault="00000000">
      <w:pPr>
        <w:spacing w:after="60"/>
        <w:jc w:val="center"/>
      </w:pPr>
      <w:r>
        <w:rPr>
          <w:b/>
          <w:color w:val="2E74B5"/>
          <w:sz w:val="30"/>
        </w:rPr>
        <w:t>Community Resources Working Draft</w:t>
      </w:r>
    </w:p>
    <w:p w:rsidR="00524B0C" w:rsidRDefault="00000000">
      <w:pPr>
        <w:spacing w:after="600"/>
        <w:jc w:val="center"/>
      </w:pPr>
      <w:r>
        <w:rPr>
          <w:i/>
          <w:color w:val="68717A"/>
        </w:rPr>
        <w:t>A paragraph-by-paragraph guide for a four-page report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24B0C">
        <w:trPr>
          <w:cantSplit/>
          <w:tblHeader/>
        </w:trPr>
        <w:tc>
          <w:tcPr>
            <w:tcW w:w="9360" w:type="dxa"/>
            <w:shd w:val="clear" w:color="auto" w:fill="FCEB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524B0C">
            <w:pPr>
              <w:spacing w:after="0" w:line="288" w:lineRule="auto"/>
            </w:pPr>
          </w:p>
        </w:tc>
      </w:tr>
    </w:tbl>
    <w:p w:rsidR="00524B0C" w:rsidRDefault="00524B0C">
      <w:pPr>
        <w:spacing w:after="20"/>
      </w:pPr>
    </w:p>
    <w:p w:rsidR="00524B0C" w:rsidRDefault="00000000">
      <w:pPr>
        <w:spacing w:before="720" w:after="40"/>
        <w:jc w:val="center"/>
      </w:pPr>
      <w:r>
        <w:rPr>
          <w:b/>
          <w:color w:val="D9232E"/>
          <w:sz w:val="18"/>
        </w:rPr>
        <w:t>WORKING-DRAFT BOUNDARY</w:t>
      </w:r>
    </w:p>
    <w:p w:rsidR="00524B0C" w:rsidRDefault="00000000">
      <w:pPr>
        <w:spacing w:after="680"/>
        <w:jc w:val="center"/>
      </w:pPr>
      <w:r>
        <w:rPr>
          <w:color w:val="68717A"/>
          <w:sz w:val="21"/>
        </w:rPr>
        <w:t xml:space="preserve">This guide is approximately 80% complete. It supplies the argument, evidence placement, and sentence frames while leaving the final prose </w:t>
      </w:r>
      <w:r w:rsidR="00D45A02">
        <w:rPr>
          <w:color w:val="68717A"/>
          <w:sz w:val="21"/>
        </w:rPr>
        <w:t>for you to complete.</w:t>
      </w:r>
    </w:p>
    <w:p w:rsidR="00524B0C" w:rsidRDefault="00000000">
      <w:r>
        <w:br w:type="page"/>
      </w:r>
    </w:p>
    <w:p w:rsidR="00524B0C" w:rsidRDefault="00000000">
      <w:pPr>
        <w:pStyle w:val="Heading1"/>
      </w:pPr>
      <w:r>
        <w:lastRenderedPageBreak/>
        <w:t>1. Resource Readiness Check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24B0C">
        <w:trPr>
          <w:cantSplit/>
          <w:tblHeader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spacing w:after="0" w:line="288" w:lineRule="auto"/>
            </w:pPr>
            <w:r>
              <w:rPr>
                <w:b/>
                <w:color w:val="D9232E"/>
                <w:sz w:val="18"/>
              </w:rPr>
              <w:t>BOTTOM LINE</w:t>
            </w:r>
            <w:r>
              <w:rPr>
                <w:b/>
                <w:color w:val="D9232E"/>
                <w:sz w:val="18"/>
              </w:rPr>
              <w:br/>
            </w:r>
            <w:r>
              <w:rPr>
                <w:b/>
                <w:color w:val="1F4D78"/>
              </w:rPr>
              <w:t>Doctors Without Borders (Médecins Sans Frontières, or MSF) fits the assignment well and is explicitly listed as an eligible organization in the supplied resources.</w:t>
            </w:r>
          </w:p>
        </w:tc>
      </w:tr>
    </w:tbl>
    <w:p w:rsidR="00524B0C" w:rsidRDefault="00524B0C">
      <w:pPr>
        <w:spacing w:after="20"/>
      </w:pPr>
    </w:p>
    <w:p w:rsidR="00524B0C" w:rsidRDefault="00000000">
      <w:pPr>
        <w:pStyle w:val="Heading2"/>
      </w:pPr>
      <w:r>
        <w:t>What is available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The assignment directions and submission requirements from the provided course screenshots.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The eligible-organization list, which names Doctors Without Borders.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A focused local case: MSF’s health response for Rohingya refugees in Cox’s Bazar District, Bangladesh.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Current official MSF sources plus three recent peer-reviewed studies published in 2025.</w:t>
      </w:r>
    </w:p>
    <w:p w:rsidR="00524B0C" w:rsidRDefault="00000000">
      <w:pPr>
        <w:pStyle w:val="Heading2"/>
      </w:pPr>
      <w:r>
        <w:t>Assignment requirements captured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Write 3–5 pages of content, plus a title page and reference page; no abstract.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Use at least three credible peer-reviewed or professional sources from the last five years.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Explain mission and vision, equal opportunity, barriers, funding, policy/legislation, local impact, and nursing involvement.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Evaluate effects on individuals, families, and population aggregates rather than merely listing services.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Use smooth organization, evidence-based claims, and APA-style citations and references.</w:t>
      </w:r>
    </w:p>
    <w:p w:rsidR="00524B0C" w:rsidRDefault="00000000">
      <w:pPr>
        <w:pStyle w:val="Heading2"/>
      </w:pPr>
      <w:r>
        <w:t>Local-community definition to use</w:t>
      </w:r>
    </w:p>
    <w:p w:rsidR="00524B0C" w:rsidRDefault="00000000">
      <w:r>
        <w:rPr>
          <w:b/>
        </w:rPr>
        <w:t xml:space="preserve">Use this exact scope in the introduction: </w:t>
      </w:r>
      <w:r>
        <w:t>“For this report, the local community is defined as Rohingya refugees living in the Cox’s Bazar camps, Bangladesh.”</w:t>
      </w:r>
    </w:p>
    <w:p w:rsidR="00524B0C" w:rsidRDefault="00000000">
      <w:r>
        <w:br w:type="page"/>
      </w:r>
    </w:p>
    <w:p w:rsidR="00524B0C" w:rsidRDefault="00000000">
      <w:pPr>
        <w:pStyle w:val="Heading1"/>
      </w:pPr>
      <w:r>
        <w:lastRenderedPageBreak/>
        <w:t>2. Strong Working Argument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24B0C">
        <w:trPr>
          <w:cantSplit/>
          <w:tblHeader/>
        </w:trPr>
        <w:tc>
          <w:tcPr>
            <w:tcW w:w="9360" w:type="dxa"/>
            <w:shd w:val="clear" w:color="auto" w:fill="FCEB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spacing w:after="0" w:line="288" w:lineRule="auto"/>
            </w:pPr>
            <w:r>
              <w:rPr>
                <w:b/>
                <w:color w:val="D9232E"/>
                <w:sz w:val="18"/>
              </w:rPr>
              <w:t>RECOMMENDED THESIS</w:t>
            </w:r>
            <w:r>
              <w:rPr>
                <w:b/>
                <w:color w:val="D9232E"/>
                <w:sz w:val="18"/>
              </w:rPr>
              <w:br/>
            </w:r>
            <w:r>
              <w:rPr>
                <w:b/>
                <w:color w:val="1F4D78"/>
              </w:rPr>
              <w:t>Through impartial, needs-based medical care, eight health facilities, outbreak response, mental-health and reproductive services, and training of local health workers, Doctors Without Borders improves health and safety for Rohingya refugees in Cox’s Bazar; however, its ability to promote equitable and sustainable recovery is constrained by overcrowding, water and sanitation failures, cultural and language barriers, restricted movement and referral pathways, and unstable humanitarian financing.</w:t>
            </w:r>
          </w:p>
        </w:tc>
      </w:tr>
    </w:tbl>
    <w:p w:rsidR="00524B0C" w:rsidRDefault="00524B0C">
      <w:pPr>
        <w:spacing w:after="20"/>
      </w:pPr>
    </w:p>
    <w:p w:rsidR="00524B0C" w:rsidRDefault="00000000">
      <w:pPr>
        <w:pStyle w:val="Heading2"/>
      </w:pPr>
      <w:r>
        <w:t>Why this angle works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It makes a global organization locally measurable by tying every claim to one district and one defined population.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It supports balanced evaluation: MSF improves access and responds to outbreaks, but it cannot by itself correct the structural conditions that reproduce illness.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It naturally connects mission, equity, financing, policy, community impact, and nursing practice—the assignment’s major criteria.</w:t>
      </w:r>
    </w:p>
    <w:p w:rsidR="00524B0C" w:rsidRDefault="00000000">
      <w:pPr>
        <w:pStyle w:val="Heading1"/>
      </w:pPr>
      <w:r>
        <w:t>3. Four-Page Word Budget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00"/>
        <w:gridCol w:w="3300"/>
        <w:gridCol w:w="1320"/>
        <w:gridCol w:w="3840"/>
      </w:tblGrid>
      <w:tr w:rsidR="00524B0C">
        <w:trPr>
          <w:tblHeader/>
        </w:trPr>
        <w:tc>
          <w:tcPr>
            <w:tcW w:w="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b/>
                <w:color w:val="1F4D78"/>
                <w:sz w:val="19"/>
              </w:rPr>
              <w:t>Page</w:t>
            </w:r>
          </w:p>
        </w:tc>
        <w:tc>
          <w:tcPr>
            <w:tcW w:w="33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b/>
                <w:color w:val="1F4D78"/>
                <w:sz w:val="19"/>
              </w:rPr>
              <w:t>Main work</w:t>
            </w:r>
          </w:p>
        </w:tc>
        <w:tc>
          <w:tcPr>
            <w:tcW w:w="13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b/>
                <w:color w:val="1F4D78"/>
                <w:sz w:val="19"/>
              </w:rPr>
              <w:t>Words</w:t>
            </w:r>
          </w:p>
        </w:tc>
        <w:tc>
          <w:tcPr>
            <w:tcW w:w="3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b/>
                <w:color w:val="1F4D78"/>
                <w:sz w:val="19"/>
              </w:rPr>
              <w:t>Paragraphs</w:t>
            </w:r>
          </w:p>
        </w:tc>
      </w:tr>
      <w:tr w:rsidR="00524B0C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Introduce community; explain mission and local initiatives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330</w:t>
            </w:r>
          </w:p>
        </w:tc>
        <w:tc>
          <w:tcPr>
            <w:tcW w:w="3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1–3</w:t>
            </w:r>
          </w:p>
        </w:tc>
      </w:tr>
      <w:tr w:rsidR="00524B0C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Evaluate equity, barriers, and measurable health impact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270</w:t>
            </w:r>
          </w:p>
        </w:tc>
        <w:tc>
          <w:tcPr>
            <w:tcW w:w="3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4–5</w:t>
            </w:r>
          </w:p>
        </w:tc>
      </w:tr>
      <w:tr w:rsidR="00524B0C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Assess funding plus policy and legislation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240</w:t>
            </w:r>
          </w:p>
        </w:tc>
        <w:tc>
          <w:tcPr>
            <w:tcW w:w="3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6–7</w:t>
            </w:r>
          </w:p>
        </w:tc>
      </w:tr>
      <w:tr w:rsidR="00524B0C"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Explain local outcomes, nursing involvement, and conclusion</w:t>
            </w:r>
          </w:p>
        </w:tc>
        <w:tc>
          <w:tcPr>
            <w:tcW w:w="1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jc w:val="center"/>
            </w:pPr>
            <w:r>
              <w:rPr>
                <w:sz w:val="19"/>
              </w:rPr>
              <w:t>340</w:t>
            </w:r>
          </w:p>
        </w:tc>
        <w:tc>
          <w:tcPr>
            <w:tcW w:w="3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9"/>
              </w:rPr>
              <w:t>8–10</w:t>
            </w:r>
          </w:p>
        </w:tc>
      </w:tr>
    </w:tbl>
    <w:p w:rsidR="00524B0C" w:rsidRDefault="00000000">
      <w:pPr>
        <w:spacing w:before="120"/>
      </w:pPr>
      <w:r>
        <w:rPr>
          <w:b/>
        </w:rPr>
        <w:t>Target: about 1,</w:t>
      </w:r>
      <w:r w:rsidR="004E77B5">
        <w:rPr>
          <w:b/>
        </w:rPr>
        <w:t>200</w:t>
      </w:r>
      <w:r>
        <w:rPr>
          <w:b/>
        </w:rPr>
        <w:t xml:space="preserve"> words of body text. </w:t>
      </w:r>
      <w:r>
        <w:t>At roughly 275–300 words per double-spaced page, this should remain near four pages; verify against your course template and Word’s page count.</w:t>
      </w:r>
    </w:p>
    <w:p w:rsidR="00524B0C" w:rsidRDefault="00000000">
      <w:r>
        <w:br w:type="page"/>
      </w:r>
    </w:p>
    <w:p w:rsidR="00524B0C" w:rsidRDefault="00000000">
      <w:pPr>
        <w:pStyle w:val="Heading1"/>
      </w:pPr>
      <w:r>
        <w:lastRenderedPageBreak/>
        <w:t>4. Source Placement Map</w:t>
      </w:r>
    </w:p>
    <w:p w:rsidR="00524B0C" w:rsidRDefault="00000000">
      <w:r>
        <w:t>Use the scholarly studies for evaluation and the official sources for current operations, organizational principles, finances, and workforce roles. Avoid relying on MSF alone to judge MSF’s effectiveness.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50"/>
        <w:gridCol w:w="1750"/>
        <w:gridCol w:w="3860"/>
        <w:gridCol w:w="1700"/>
      </w:tblGrid>
      <w:tr w:rsidR="00524B0C">
        <w:trPr>
          <w:tblHeader/>
        </w:trPr>
        <w:tc>
          <w:tcPr>
            <w:tcW w:w="20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b/>
                <w:color w:val="1F4D78"/>
                <w:sz w:val="18"/>
              </w:rPr>
              <w:t>Source</w:t>
            </w:r>
          </w:p>
        </w:tc>
        <w:tc>
          <w:tcPr>
            <w:tcW w:w="17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b/>
                <w:color w:val="1F4D78"/>
                <w:sz w:val="18"/>
              </w:rPr>
              <w:t>Best role</w:t>
            </w:r>
          </w:p>
        </w:tc>
        <w:tc>
          <w:tcPr>
            <w:tcW w:w="38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b/>
                <w:color w:val="1F4D78"/>
                <w:sz w:val="18"/>
              </w:rPr>
              <w:t>Evidence to pull</w:t>
            </w:r>
          </w:p>
        </w:tc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b/>
                <w:color w:val="1F4D78"/>
                <w:sz w:val="18"/>
              </w:rPr>
              <w:t>Place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MSF Bangladesh (official)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Current local operations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Eight facilities in 2024; service mix; scabies and WASH observations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¶2–3, ¶5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MSF Charter (official)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Mission and ethical principles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Impartiality, neutrality, independence, medical ethics, right to humanitarian assistance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¶2, ¶4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Alhaffar et al. (2025)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Local outcome evidence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178,922 scabies consultations; camps 14–15; clinical response; need for MDA and WASH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¶3, ¶5, ¶8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Green et al. (2025)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Barriers and mental health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26 health professionals; structural, legal, cultural, linguistic, referral, privacy, staffing barriers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¶4, ¶7–9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Talukdar et al. (2025)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Financing and equity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Mixed methods; declining/short-term funding; coordination; service-priority tensions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¶4, ¶6, ¶8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MSF 2025 finances (official)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Organization-level funding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€2.6B revenue; 98% private income; 79% social mission expenditure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¶6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UNHCR Bangladesh (official)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Current legal/policy context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33 congested camps; no refugee/asylum statute; directives and administrative instruments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¶1, ¶7</w:t>
            </w:r>
          </w:p>
        </w:tc>
      </w:tr>
      <w:tr w:rsidR="00524B0C">
        <w:tc>
          <w:tcPr>
            <w:tcW w:w="2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MSF nurse role (official)</w:t>
            </w:r>
          </w:p>
        </w:tc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Nursing involvement</w:t>
            </w:r>
          </w:p>
        </w:tc>
        <w:tc>
          <w:tcPr>
            <w:tcW w:w="3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Vaccination, triage, hygiene, training, supervision, data, supplies, local coordination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r>
              <w:rPr>
                <w:sz w:val="17"/>
              </w:rPr>
              <w:t>¶9</w:t>
            </w:r>
          </w:p>
        </w:tc>
      </w:tr>
    </w:tbl>
    <w:p w:rsidR="00524B0C" w:rsidRDefault="00000000">
      <w:pPr>
        <w:pStyle w:val="Heading2"/>
      </w:pPr>
      <w:r>
        <w:t>Source-use rule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For each body paragraph, make a claim, present evidence, explain why the evidence matters for health or safety, and then connect the evaluation back to the community.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Paraphrase most material. If you quote, keep it brief, add a page/paragraph locator when available, and explain the quotation rather than letting it stand alone.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Acknowledge study limits: the scabies study used routine clinic data; the mental-health study interviewed providers rather than refugees; the financing study had a small stakeholder interview component.</w:t>
      </w:r>
    </w:p>
    <w:p w:rsidR="00524B0C" w:rsidRDefault="00000000">
      <w:r>
        <w:br w:type="page"/>
      </w:r>
    </w:p>
    <w:p w:rsidR="00524B0C" w:rsidRDefault="00000000">
      <w:pPr>
        <w:pStyle w:val="Heading1"/>
      </w:pPr>
      <w:r>
        <w:lastRenderedPageBreak/>
        <w:t>5. Paragraph-by-Paragraph Blueprint</w:t>
      </w:r>
    </w:p>
    <w:p w:rsidR="00524B0C" w:rsidRDefault="00000000">
      <w:pPr>
        <w:pStyle w:val="Heading2"/>
      </w:pPr>
      <w:r>
        <w:t>Paragraph 1 | Introduction and local community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Introduce MSF, define the local community, establish the public-health problem, and end with the thesis.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Name Doctors Without Borders/Médecins Sans Frontières; locate Cox’s Bazar in Bangladesh; define the population; mention protracted displacement and dense camp conditions; state why health resources matter.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UNHCR Bangladesh country page; MSF Bangladesh page.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“Doctors Without Borders is a global medical humanitarian organization, but its effect can be evaluated locally through its work among Rohingya refugees in Cox’s Bazar…” Then narrow to Ukhiya/Teknaf and move directly to the thesis.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A precise local-community definition and a controlling claim that previews benefits and constraints.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Mention the 33 highly congested camps only if you cite UNHCR’s current country page; do not overload the opening with statistics.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Cite UNHCR after the camp/legal context and MSF after the current service footprint.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Clear purpose, organization selection, local relevance, evidence-based introduction.</w:t>
      </w:r>
    </w:p>
    <w:p w:rsidR="00524B0C" w:rsidRDefault="00000000">
      <w:pPr>
        <w:pStyle w:val="Heading2"/>
      </w:pPr>
      <w:r>
        <w:t>Paragraph 2 | Mission, principles, and public health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Explain how MSF’s chartered principles support public health and safety for excluded populations.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Impartial assistance regardless of race, religion, creed, or political conviction; neutrality; independence; medical ethics; freedom to provide humanitarian assistance.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MSF Charter; optionally MSF 2025 finances for the link between private funding and independence.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“MSF’s charter converts its humanitarian mission into a public-health approach by making medical need—not legal status, nationality, or political affiliation—the basis for care…”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Evaluation, not mission-statement repetition: explain how impartiality can reduce exclusion and how independence can permit response to neglected crises.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Connect needs-based care to stateless Rohingya patients who otherwise face legal and mobility barriers.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Paraphrase the charter and cite MSF; use quotation marks only if copying exact charter wording.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Mission/vision contribution to public health and safety.</w:t>
      </w:r>
    </w:p>
    <w:p w:rsidR="00524B0C" w:rsidRDefault="00000000">
      <w:r>
        <w:br w:type="page"/>
      </w:r>
    </w:p>
    <w:p w:rsidR="00524B0C" w:rsidRDefault="00000000">
      <w:pPr>
        <w:pStyle w:val="Heading2"/>
      </w:pPr>
      <w:r>
        <w:lastRenderedPageBreak/>
        <w:t>Paragraph 3 | Local initiatives in Cox’s Bazar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Show how mission becomes concrete action in the selected community.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Eight MSF facilities in 2024; emergency, sexual and reproductive, mental-health, SGBV, NCD, diarrhea, respiratory, dengue, measles, and scabies services; dedicated scabies clinics and community outreach.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MSF Bangladesh page; Alhaffar et al. (2025).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“In Cox’s Bazar, MSF operationalizes this mission through a network of facilities that combines acute care with population-focused prevention and surveillance…”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At least one specific initiative and the mechanism by which it improves health: access point, early treatment, surveillance, outbreak control, referral, or health education.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Use the scabies screen-and-treat response at MSF primary health centers in camps 14 and 15 as the concrete case.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Cite the official page for 2024 service scope and the peer-reviewed study for clinic-level scabies evidence.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Specific initiatives that support public health and safety.</w:t>
      </w:r>
    </w:p>
    <w:p w:rsidR="00524B0C" w:rsidRDefault="00000000">
      <w:pPr>
        <w:pStyle w:val="Heading2"/>
      </w:pPr>
      <w:r>
        <w:t>Paragraph 4 | Equal opportunity and barriers to care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Evaluate whether MSF promotes equal opportunity and improved quality of life while identifying barriers beyond the organization’s control.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Social: displacement, gender-based violence, mistrust. Cultural/linguistic: Rohingya-language gaps, culturally unvalidated screening. Economic: dependence on aid and scarce funding. Physical: distance, hilly terrain, crowding, poor water/sanitation. Legal: movement and referral restrictions.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Green et al. (2025); Talukdar et al. (2025); MSF Charter; UNHCR Bangladesh.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“MSF advances equal opportunity by offering needs-based services inside the camps, yet equal availability does not guarantee equal access…”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A direct judgment: access improves, but quality-of-life gains remain uneven because structural barriers affect women, children, older adults, people with disabilities, and those needing outside referral differently.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Explain how a clinic can be geographically present but functionally inaccessible when travel, privacy, language, or referral pathways fail.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Cite Green et al. after the barrier cluster; cite Talukdar et al. for financing constraints and service-priority tensions; do not attribute national policy to MSF.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Equal opportunity, quality of life, and social/cultural/economic/physical barriers.</w:t>
      </w:r>
    </w:p>
    <w:p w:rsidR="00524B0C" w:rsidRDefault="00000000">
      <w:r>
        <w:br w:type="page"/>
      </w:r>
    </w:p>
    <w:p w:rsidR="00524B0C" w:rsidRDefault="00000000">
      <w:pPr>
        <w:pStyle w:val="Heading2"/>
      </w:pPr>
      <w:r>
        <w:lastRenderedPageBreak/>
        <w:t>Paragraph 5 | Evaluate health impact through the scabies case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Use one documented health problem to distinguish MSF’s clinical effectiveness from the limits of humanitarian medicine.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178,922 scabies consultations over 16 months; 20.5% under age five; one in five cases with secondary infection; treatment patterns; overcrowding and WASH conditions; need for mass drug administration and multidisciplinary action.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Alhaffar et al. (2025); MSF Bangladesh page.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“The scabies response demonstrates both measurable reach and an important limitation: MSF can diagnose and treat large numbers of patients, but repeated transmission continues when overcrowding and inadequate water and sanitation remain unchanged…”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Interpret the numbers: high consultation volume indicates access and surveillance capacity, but it also signals ongoing population exposure and pressure on other services.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Contrast screen-and-treat care with the broader prevention needed—mass drug administration, reliable chlorination, water distribution, sanitation, and less crowding.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Use Alhaffar et al. for the data. State that clinic records capture consultations, not necessarily unique persons; this is a study limitation.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Critical evaluation of initiative impact on public health and safety.</w:t>
      </w:r>
    </w:p>
    <w:p w:rsidR="00524B0C" w:rsidRDefault="00000000">
      <w:pPr>
        <w:pStyle w:val="Heading2"/>
      </w:pPr>
      <w:r>
        <w:t>Paragraph 6 | Funding model and consequences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Assess how MSF’s funding sources shape independence, flexibility, reach, and sustainability.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In 2025 MSF reported more than €2.6 billion in revenue, 98% from private sources, and 79% of expenditure devoted to the social mission; connect these figures to operational independence and limits.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MSF 2025 in figures; Talukdar et al. (2025) for the wider Cox’s Bazar financing environment.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“MSF’s predominantly private funding base supports rapid, needs-driven decisions, but organizational independence does not eliminate the broader financing instability surrounding refugee health services…”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Both sides of the evaluation: private funding reduces political dependence and enables flexibility; humanitarian demand, donor volatility, and system-wide cuts can still reduce continuity, referrals, staff retention, and partner capacity.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Use a mental-health referral to show why one well-funded provider still depends on other agencies and hospitals in a strained health system.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Cite current MSF figures exactly; distinguish MSF’s own finances from the overall refugee-response financing studied by Talukdar et al.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Funding sources and effects on individuals, families, and aggregates.</w:t>
      </w:r>
    </w:p>
    <w:p w:rsidR="00524B0C" w:rsidRDefault="00000000">
      <w:r>
        <w:br w:type="page"/>
      </w:r>
    </w:p>
    <w:p w:rsidR="00524B0C" w:rsidRDefault="00000000">
      <w:pPr>
        <w:pStyle w:val="Heading2"/>
      </w:pPr>
      <w:r>
        <w:lastRenderedPageBreak/>
        <w:t>Paragraph 7 | Policy and legislation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Explain how the legal and administrative environment affects MSF’s work and patients’ access to care.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Bangladesh is not party to the 1951 Refugee Convention; it has no national refugee/asylum legislation; the response is managed through directives, letters, and administrative instruments; refugees face movement and outside-referral constraints.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UNHCR Bangladesh country page; Green et al. (2025).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“Because Bangladesh lacks a dedicated national refugee law, administrative rules and movement controls become practical determinants of health…”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Translate policy into health consequences: delayed referral, limited continuity, confinement, isolation, bureaucratic burden, and unequal access to specialized services.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Trace a patient who needs psychiatric or tertiary care outside the camp: authorization and transport barriers may interrupt the referral even when MSF identifies the need.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Use UNHCR for the legal framework and Green et al. for providers’ documented experience of restrictions; avoid legal conclusions beyond the sources.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Policy/legislation and effects on community health and safety.</w:t>
      </w:r>
    </w:p>
    <w:p w:rsidR="00524B0C" w:rsidRDefault="00000000">
      <w:pPr>
        <w:pStyle w:val="Heading2"/>
      </w:pPr>
      <w:r>
        <w:t>Paragraph 8 | Impact on individuals, families, and aggregates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Synthesize the effects of MSF’s work at three required levels and identify who may remain underserved.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Individual: diagnosis, treatment, and trauma support. Family: reduced transmission, maternal and reproductive support, and fewer caregiving burdens. Aggregate: surveillance, outbreak response, health promotion, and workforce capacity.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Alhaffar et al. (2025); Talukdar et al. (2025); MSF Bangladesh page.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“MSF’s impact is cumulative: a treated patient may experience symptom relief, a household may face less transmission or caregiving strain, and the camp population benefits from surveillance and coordinated outbreak control…”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An explicit evaluation of benefits and remaining gaps for each level; do not assume every service reaches every subgroup equally.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Use scabies to move from patient treatment to household transmission and then to camp-level surveillance; explain how funding decisions may change access and continuity for Rohingya refugees.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Place citations next to the level-specific evidence; do not use one citation at the end of a long paragraph containing several unrelated claims.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Local community impact on individuals, families, and population aggregates.</w:t>
      </w:r>
    </w:p>
    <w:p w:rsidR="00524B0C" w:rsidRDefault="00000000">
      <w:r>
        <w:br w:type="page"/>
      </w:r>
    </w:p>
    <w:p w:rsidR="00524B0C" w:rsidRDefault="00000000">
      <w:pPr>
        <w:pStyle w:val="Heading2"/>
      </w:pPr>
      <w:r>
        <w:lastRenderedPageBreak/>
        <w:t>Paragraph 9 | Nursing involvement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Explain concrete nursing roles in MSF operations and how nurses strengthen local capacity.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Triage, vaccination, reproductive/maternal care, infection prevention, hygiene oversight, medication and supply management, data collection, community education, supervision, and training of locally hired staff/community health workers.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MSF nurse role page; MSF nurses stories (2024); Green et al. (2025) for contextual barriers.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“Nurses are central to both bedside care and population health in an MSF response because their responsibilities extend from triage and infection prevention to surveillance, education, supervision, and workforce development…”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A realistic account: international nurses may spend substantial time managing and training rather than providing continuous direct care; culturally safe practice requires interpreters, privacy, trauma-informed communication, and respect for local expertise.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Describe a nurse-led scabies workflow: triage, assessment, medication teaching, household prevention education, infection-control monitoring, documentation, and referral of secondary infection.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Cite MSF’s role page for duties. Do not claim a Cox’s Bazar-specific nurse performed an activity unless the local source documents it.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Nursing involvement and contribution to community health and safety.</w:t>
      </w:r>
    </w:p>
    <w:p w:rsidR="00524B0C" w:rsidRDefault="00000000">
      <w:pPr>
        <w:pStyle w:val="Heading2"/>
      </w:pPr>
      <w:r>
        <w:t>Paragraph 10 | Conclusion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Job: </w:t>
      </w:r>
      <w:r>
        <w:rPr>
          <w:sz w:val="21"/>
        </w:rPr>
        <w:t>Deliver a concise judgment that answers the assignment without introducing new evidence.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Cover: </w:t>
      </w:r>
      <w:r>
        <w:rPr>
          <w:sz w:val="21"/>
        </w:rPr>
        <w:t>Restate the local community, summarize MSF’s strongest contributions, name the principal constraints, and close with the importance of nursing and cross-sector coordination.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Use/source(s): </w:t>
      </w:r>
      <w:r>
        <w:rPr>
          <w:sz w:val="21"/>
        </w:rPr>
        <w:t>Synthesize previously cited evidence; usually no new source is needed.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Draft-ready idea: </w:t>
      </w:r>
      <w:r>
        <w:rPr>
          <w:i/>
          <w:sz w:val="21"/>
        </w:rPr>
        <w:t>“Overall, MSF is a strong community resource for Rohingya refugees living in the Cox’s Bazar camps because it converts impartial humanitarian principles into accessible clinical and public-health action; nevertheless, durable gains depend on financing continuity, enabling policy, culturally responsive referral systems, and improvements in living conditions…”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Must include: </w:t>
      </w:r>
      <w:r>
        <w:rPr>
          <w:sz w:val="21"/>
        </w:rPr>
        <w:t>A balanced final judgment, not a list of prior sections; connect clinical care to sustainable public-health conditions.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Example to add: </w:t>
      </w:r>
      <w:r>
        <w:rPr>
          <w:sz w:val="21"/>
        </w:rPr>
        <w:t>End with one forward-looking sentence about nurse-led prevention, surveillance, and capacity building in partnership with Rohingya community members and local health workers.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Citation reminder: </w:t>
      </w:r>
      <w:r>
        <w:rPr>
          <w:sz w:val="21"/>
        </w:rPr>
        <w:t>Do not add uncited statistics or a new policy argument in the conclusion.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Rubric target: </w:t>
      </w:r>
      <w:r>
        <w:rPr>
          <w:sz w:val="21"/>
        </w:rPr>
        <w:t>Coherent conclusion, critical thinking, and professional academic organization.</w:t>
      </w:r>
    </w:p>
    <w:p w:rsidR="00524B0C" w:rsidRDefault="00000000">
      <w:r>
        <w:br w:type="page"/>
      </w:r>
    </w:p>
    <w:p w:rsidR="00524B0C" w:rsidRDefault="00000000">
      <w:pPr>
        <w:pStyle w:val="Heading1"/>
      </w:pPr>
      <w:r>
        <w:lastRenderedPageBreak/>
        <w:t>6. Evidence Bank</w:t>
      </w:r>
    </w:p>
    <w:p w:rsidR="00524B0C" w:rsidRDefault="00000000">
      <w:r>
        <w:t>These are evidence notes to paraphrase and analyze—not sentences to paste without attribution.</w:t>
      </w:r>
    </w:p>
    <w:p w:rsidR="00524B0C" w:rsidRDefault="00000000">
      <w:pPr>
        <w:pStyle w:val="Heading2"/>
      </w:pPr>
      <w:r>
        <w:t>MSF Bangladesh | current operations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Eight health facilities in Cox’s Bazar served thousands of people in 2024.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Services included emergency, sexual and reproductive, mental-health, SGBV, NCD, diarrheal, respiratory, dengue, measles, and scabies care.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MSF reported reduced chlorination and poor water distribution across camps as likely contributors to waterborne disease risk.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breadth of services plus the relationship between clinical demand and environmental conditions.</w:t>
      </w:r>
    </w:p>
    <w:p w:rsidR="00524B0C" w:rsidRDefault="00000000">
      <w:pPr>
        <w:pStyle w:val="Heading2"/>
      </w:pPr>
      <w:r>
        <w:t>Alhaffar et al. (2025) | scabies response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Retrospective analysis of routinely collected data from two MSF primary health centers in camps 14 and 15.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178,922 consultations between July 2022 and November 2023; 20.5% involved children under five; 19.5% received antibiotics.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The study supports mass drug administration plus water, sanitation, and living-condition interventions.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Limitation to state: consultations are not necessarily unique patients, and facility data do not represent every person in the camps.</w:t>
      </w:r>
    </w:p>
    <w:p w:rsidR="00524B0C" w:rsidRDefault="00000000">
      <w:pPr>
        <w:pStyle w:val="Heading2"/>
      </w:pPr>
      <w:r>
        <w:t>Green et al. (2025) | mental-health access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Qualitative interviews with 26 health professionals who had cared for Rohingya refugees.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Identified movement restrictions, bureaucratic hurdles, camp size/remoteness, heavy workload, limited trained staff, weak referral/follow-up, poor privacy, and culturally/linguistically unvalidated screening tools.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distinguish formal service availability from practical accessibility and acceptability.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Limitation to state: providers, not Rohingya patients, supplied the data; most field experience described 2017–2020.</w:t>
      </w:r>
    </w:p>
    <w:p w:rsidR="00524B0C" w:rsidRDefault="00000000">
      <w:pPr>
        <w:pStyle w:val="Heading2"/>
      </w:pPr>
      <w:r>
        <w:lastRenderedPageBreak/>
        <w:t>Talukdar et al. (2025) | financing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Mixed-method study combining stakeholder interviews with financial-document review.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Highlights reduced and short-term financing, competing priorities, and coordination inefficiencies that affect health services for Rohingya refugees.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explain continuity, system dependence, and why MSF’s independent funding cannot stabilize the entire response.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Limitation to state: small key-informant component and stakeholder perspectives rather than patient-level outcomes.</w:t>
      </w:r>
    </w:p>
    <w:p w:rsidR="00524B0C" w:rsidRDefault="00000000">
      <w:pPr>
        <w:pStyle w:val="Heading2"/>
      </w:pPr>
      <w:r>
        <w:t>MSF Charter | mission and equity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Care is guided by need without regard to race, religion, creed, or political conviction.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Neutrality, impartiality, medical ethics, and independence support access for politically marginalized populations.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explain why the mission is a public-health mechanism, not merely an organizational slogan.</w:t>
      </w:r>
    </w:p>
    <w:p w:rsidR="00524B0C" w:rsidRDefault="00000000">
      <w:pPr>
        <w:pStyle w:val="Heading2"/>
      </w:pPr>
      <w:r>
        <w:t>MSF 2025 figures | organization-level funding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MSF reported more than €2.6 billion in revenue in 2025, with 98% of operating income from private sources.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MSF reported that 79% of total expenditure went to its social mission.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link private income to independence while recognizing that independence does not equal unlimited capacity.</w:t>
      </w:r>
    </w:p>
    <w:p w:rsidR="00524B0C" w:rsidRDefault="00000000">
      <w:pPr>
        <w:pStyle w:val="Heading2"/>
      </w:pPr>
      <w:r>
        <w:t>UNHCR Bangladesh | legal and population context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Rohingya refugees are hosted in 33 highly congested camps in Cox’s Bazar District.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Bangladesh is not party to the 1951 Refugee Convention and has no dedicated national refugee/asylum legislation.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The response is managed through directives, letters, and administrative instruments.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show how administrative policy becomes a determinant of movement, referral, and continuity of care.</w:t>
      </w:r>
    </w:p>
    <w:p w:rsidR="00524B0C" w:rsidRDefault="00000000">
      <w:pPr>
        <w:pStyle w:val="Heading2"/>
      </w:pPr>
      <w:r>
        <w:t>MSF nursing sources | workforce role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MSF describes nursing duties that include vaccination, triage, maternal/HIV programming, nutrition, hygiene, supplies, data, training, and coordination.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lastRenderedPageBreak/>
        <w:t>MSF reported in 2024 that more than 10,000 nurses worked across its projects worldwide.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Best analytical use: explain both clinical tasks and the nurse’s systems-level role in supervision and local capacity building.</w:t>
      </w:r>
    </w:p>
    <w:p w:rsidR="00524B0C" w:rsidRDefault="00000000">
      <w:pPr>
        <w:pStyle w:val="Heading2"/>
      </w:pPr>
      <w:r>
        <w:t>Avoid these overclaims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Do not say MSF has solved health inequity; say it reduces selected access gaps while structural inequities remain.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Do not say 178,922 unique patients were treated; the study reports consultations.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Do not imply MSF controls Bangladesh’s refugee policy or the entire humanitarian budget.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Do not generalize provider interviews as direct Rohingya testimony.</w:t>
      </w:r>
    </w:p>
    <w:p w:rsidR="00524B0C" w:rsidRDefault="00000000">
      <w:pPr>
        <w:pStyle w:val="Heading1"/>
      </w:pPr>
      <w:r>
        <w:t>7. Draft-Ready Language</w:t>
      </w:r>
    </w:p>
    <w:p w:rsidR="00524B0C" w:rsidRDefault="00000000">
      <w:pPr>
        <w:pStyle w:val="Heading2"/>
      </w:pPr>
      <w:r>
        <w:t>Transitions by purpose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Mission → initiative: </w:t>
      </w:r>
      <w:r>
        <w:rPr>
          <w:i/>
          <w:sz w:val="21"/>
        </w:rPr>
        <w:t>“These principles become operational in Cox’s Bazar through…”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Strength → limitation: </w:t>
      </w:r>
      <w:r>
        <w:rPr>
          <w:i/>
          <w:sz w:val="21"/>
        </w:rPr>
        <w:t>“Although this service footprint expands access, its population-level effect is limited when…”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Evidence → analysis: </w:t>
      </w:r>
      <w:r>
        <w:rPr>
          <w:i/>
          <w:sz w:val="21"/>
        </w:rPr>
        <w:t>“This finding matters for public health because…”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Clinical → structural: </w:t>
      </w:r>
      <w:r>
        <w:rPr>
          <w:i/>
          <w:sz w:val="21"/>
        </w:rPr>
        <w:t>“Treatment addresses immediate morbidity, whereas prevention depends on…”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Funding → patient effect: </w:t>
      </w:r>
      <w:r>
        <w:rPr>
          <w:i/>
          <w:sz w:val="21"/>
        </w:rPr>
        <w:t>“At the patient and family level, unstable financing can appear as…”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Policy → health: </w:t>
      </w:r>
      <w:r>
        <w:rPr>
          <w:i/>
          <w:sz w:val="21"/>
        </w:rPr>
        <w:t>“The policy becomes a health determinant when it delays or prevents…”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Nursing → outcomes: </w:t>
      </w:r>
      <w:r>
        <w:rPr>
          <w:i/>
          <w:sz w:val="21"/>
        </w:rPr>
        <w:t>“Nursing involvement strengthens this response by linking…”</w:t>
      </w:r>
    </w:p>
    <w:p w:rsidR="00524B0C" w:rsidRDefault="00000000">
      <w:pPr>
        <w:keepLines/>
        <w:spacing w:after="100" w:line="288" w:lineRule="auto"/>
      </w:pPr>
      <w:r>
        <w:rPr>
          <w:b/>
          <w:color w:val="D9232E"/>
          <w:sz w:val="20"/>
        </w:rPr>
        <w:t xml:space="preserve">Conclusion: </w:t>
      </w:r>
      <w:r>
        <w:rPr>
          <w:i/>
          <w:sz w:val="21"/>
        </w:rPr>
        <w:t>“Taken together, the evidence indicates that…”</w:t>
      </w:r>
    </w:p>
    <w:p w:rsidR="00524B0C" w:rsidRDefault="00000000">
      <w:pPr>
        <w:pStyle w:val="Heading2"/>
      </w:pPr>
      <w:r>
        <w:t>Evidence-integration frames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Claim: “[Organization/principle] improves [specific health or safety outcome] by…”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Evidence: “[Author/organization] reported/found that…”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Interpretation: “This matters for [individuals/families/aggregate] because…”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Boundary: “However, the finding does not show/resolve…”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Link: “Therefore, MSF’s contribution is strongest when…”</w:t>
      </w:r>
    </w:p>
    <w:p w:rsidR="00524B0C" w:rsidRDefault="00000000">
      <w:pPr>
        <w:pStyle w:val="Heading1"/>
      </w:pPr>
      <w:r>
        <w:lastRenderedPageBreak/>
        <w:t>8. Citation Scaffolds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Narrative: Alhaffar et al. (2025) found that…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Parenthetical: …within MSF’s camp-based clinics (Alhaffar et al., 2025).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Corporate author, first and later use: (Médecins Sans Frontières [MSF], 2026), then (MSF, 2026). Verify the page date; use n.d. if no date is displayed.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Multiple sources: …barriers remain at structural, financial, and clinical levels (Green et al., 2025; Talukdar et al., 2025).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Direct quote: include author/year plus page number for PDFs or paragraph number for unpaginated webpages. Prefer paraphrase for this report.</w:t>
      </w:r>
    </w:p>
    <w:p w:rsidR="00524B0C" w:rsidRDefault="00000000">
      <w:pPr>
        <w:pStyle w:val="Heading2"/>
      </w:pPr>
      <w:r>
        <w:t>APA assembly reminders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Use a student title page with paper title, name, institution, course, instructor, and due date.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Double-space the final paper, indent first lines 0.5 inch, and use page numbers in the top-right header unless the course template says otherwise.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Alphabetize references and use a 0.5-inch hanging indent.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Match every in-text citation to one reference entry and every reference entry to at least one in-text citation.</w:t>
      </w:r>
    </w:p>
    <w:p w:rsidR="00524B0C" w:rsidRDefault="00000000">
      <w:pPr>
        <w:pStyle w:val="Heading1"/>
      </w:pPr>
      <w:r>
        <w:t>9. APA Reference Scaffolds</w:t>
      </w:r>
    </w:p>
    <w:p w:rsidR="00524B0C" w:rsidRDefault="00000000">
      <w:r>
        <w:t>Verify capitalization, page dates, and author initials against the final PDFs/webpages before submitting. The scholarly entries below are near-ready APA 7 references.</w:t>
      </w:r>
    </w:p>
    <w:p w:rsidR="00524B0C" w:rsidRDefault="00000000">
      <w:pPr>
        <w:spacing w:after="160"/>
        <w:ind w:left="720" w:hanging="720"/>
      </w:pPr>
      <w:r>
        <w:t>Alhaffar, B. A., Islam, S., Hoq, M. I., Das, A., Shibloo, S. M., Hasan, M., Muzakkir, K. U., Mahmud, K., Petersen, T. G., &amp; Noko, K. (2025). High caseload of scabies amongst Rohingya refugees in Cox’s Bazar, Bangladesh: A retrospective analysis of the epidemiological and clinical characteristics of cases, July 2022 to November 2023. PLOS Global Public Health, 5(4), e0003981. https://doi.org/10.1371/journal.pgph.0003981</w:t>
      </w:r>
    </w:p>
    <w:p w:rsidR="00524B0C" w:rsidRDefault="00000000">
      <w:pPr>
        <w:spacing w:after="160"/>
        <w:ind w:left="720" w:hanging="720"/>
      </w:pPr>
      <w:r>
        <w:t>Green, L., Kaljee, L., Chowdhury, S. A., McHale, T., Mishori, R., Fateen, D., &amp; Sheth, N. (2025). Healthcare workers’ perspectives on trauma and mental health access for Rohingya refugees in Cox’s Bazar. Frontiers in Public Health, 12, 1458680. https://doi.org/10.3389/fpubh.2024.1458680</w:t>
      </w:r>
    </w:p>
    <w:p w:rsidR="00524B0C" w:rsidRDefault="00000000">
      <w:pPr>
        <w:spacing w:after="160"/>
        <w:ind w:left="720" w:hanging="720"/>
      </w:pPr>
      <w:r>
        <w:t>Médecins Sans Frontières. (n.d.). The MSF charter. Retrieved August 10, 2026, from https://www.msf.org/msf-charter</w:t>
      </w:r>
    </w:p>
    <w:p w:rsidR="00524B0C" w:rsidRDefault="00000000">
      <w:pPr>
        <w:spacing w:after="160"/>
        <w:ind w:left="720" w:hanging="720"/>
      </w:pPr>
      <w:r>
        <w:lastRenderedPageBreak/>
        <w:t>Médecins Sans Frontières. (2026). 2025 in figures. https://www.msf.org/international-activity-report-2025/2025-figures</w:t>
      </w:r>
    </w:p>
    <w:p w:rsidR="00524B0C" w:rsidRDefault="00000000">
      <w:pPr>
        <w:spacing w:after="160"/>
        <w:ind w:left="720" w:hanging="720"/>
      </w:pPr>
      <w:r>
        <w:t>Médecins Sans Frontières/Doctors Without Borders. (n.d.). Bangladesh. Retrieved August 10, 2026, from https://www.doctorswithoutborders.org/what-we-do/where-we-work/bangladesh</w:t>
      </w:r>
    </w:p>
    <w:p w:rsidR="00524B0C" w:rsidRDefault="00000000">
      <w:pPr>
        <w:spacing w:after="160"/>
        <w:ind w:left="720" w:hanging="720"/>
      </w:pPr>
      <w:r>
        <w:t>Médecins Sans Frontières/Doctors Without Borders. (n.d.). Registered nurses &amp; practitioners. Retrieved August 10, 2026, from https://www.doctorswithoutborders.org/careers/work-internationally/find-role/nurses</w:t>
      </w:r>
    </w:p>
    <w:p w:rsidR="00524B0C" w:rsidRDefault="00000000">
      <w:pPr>
        <w:spacing w:after="160"/>
        <w:ind w:left="720" w:hanging="720"/>
      </w:pPr>
      <w:r>
        <w:t>Médecins Sans Frontières/Doctors Without Borders. (2024, May 9). Nurses without borders: Stories from around the world. https://www.doctorswithoutborders.org/latest/nurses-without-borders-stories-around-world</w:t>
      </w:r>
    </w:p>
    <w:p w:rsidR="00524B0C" w:rsidRDefault="00000000">
      <w:pPr>
        <w:spacing w:after="160"/>
        <w:ind w:left="720" w:hanging="720"/>
      </w:pPr>
      <w:r>
        <w:t>Talukdar, I. H., Tarannum, S., Smith, I., Rifat, M. A., Boga, P., Mumin, J., Veronés, P. A., Mahdi, Z., Alam, S. S., &amp; Khan, A. F. (2025). Challenges of healthcare financing in the world’s largest refugee camp: A mixed-method study among healthcare stakeholders for Rohingya refugees in Bangladesh. BMJ Open, 15(1), e083021. https://doi.org/10.1136/bmjopen-2023-083021</w:t>
      </w:r>
    </w:p>
    <w:p w:rsidR="00524B0C" w:rsidRDefault="00000000">
      <w:pPr>
        <w:spacing w:after="160"/>
        <w:ind w:left="720" w:hanging="720"/>
      </w:pPr>
      <w:r>
        <w:t>United Nations High Commissioner for Refugees. (2026). Bangladesh. https://data.unhcr.org/en/country/bgd/591</w:t>
      </w:r>
    </w:p>
    <w:p w:rsidR="00524B0C" w:rsidRDefault="00000000">
      <w:pPr>
        <w:pStyle w:val="Heading2"/>
      </w:pPr>
      <w:r>
        <w:t>Recommended minimum source set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Use all three 2025 peer-reviewed articles: Alhaffar et al., Green et al., and Talukdar et al.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Add MSF’s Bangladesh page and charter for current organizational evidence.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Add UNHCR for the legal/policy context and the MSF nursing page for the nursing criterion.</w:t>
      </w:r>
    </w:p>
    <w:p w:rsidR="00524B0C" w:rsidRDefault="00000000">
      <w:pPr>
        <w:pStyle w:val="Heading1"/>
      </w:pPr>
      <w:r>
        <w:t>10. Final Rubric Checklist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The paper identifies Doctors Without Borders and defines Rohingya refugees living in the Cox’s Bazar camps as the local community in the introduction.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The thesis makes an evaluative claim about both contribution and limitation.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Mission/vision principles are connected to health and safety outcomes, not merely summarized.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At least one local initiative is analyzed in detail; the scabies response is the strongest example.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Equal opportunity and quality of life are evaluated across social, cultural, economic, physical, and legal barriers.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lastRenderedPageBreak/>
        <w:t>☐ Funding is assessed at two levels: MSF’s independent financing and the wider refugee-health financing environment.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Policy/legislation is translated into practical effects on access, referral, continuity, and safety.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Effects are explicitly discussed for individuals, families, and population aggregates.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Nursing roles include clinical care, prevention, surveillance, education, management, and local workforce development.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Each paragraph follows claim → evidence → explanation → community link.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At least three recent scholarly/professional sources are used, and study limitations are acknowledged.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The final paper is 3–5 pages of body content, plus title and references, with no abstract.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APA in-text citations and references match; references are alphabetized and hanging-indented.</w:t>
      </w:r>
    </w:p>
    <w:p w:rsidR="00524B0C" w:rsidRDefault="00000000">
      <w:pPr>
        <w:numPr>
          <w:ilvl w:val="0"/>
          <w:numId w:val="1"/>
        </w:numPr>
        <w:spacing w:after="80"/>
        <w:ind w:hanging="271"/>
      </w:pPr>
      <w:r>
        <w:t>☐ The missing detailed scoring guide and APA tutorial are checked if they become available before submission.</w:t>
      </w:r>
    </w:p>
    <w:p w:rsidR="00524B0C" w:rsidRDefault="00000000">
      <w:pPr>
        <w:pStyle w:val="Heading2"/>
      </w:pPr>
      <w:r>
        <w:t>Final drafting sequence</w:t>
      </w:r>
    </w:p>
    <w:p w:rsidR="00524B0C" w:rsidRDefault="00000000">
      <w:pPr>
        <w:numPr>
          <w:ilvl w:val="0"/>
          <w:numId w:val="2"/>
        </w:numPr>
        <w:spacing w:after="80"/>
        <w:ind w:hanging="271"/>
      </w:pPr>
      <w:r>
        <w:t>Draft paragraphs 3–8 first because they contain the strongest evidence and analysis.</w:t>
      </w:r>
    </w:p>
    <w:p w:rsidR="00524B0C" w:rsidRDefault="00000000">
      <w:pPr>
        <w:numPr>
          <w:ilvl w:val="0"/>
          <w:numId w:val="2"/>
        </w:numPr>
        <w:spacing w:after="80"/>
        <w:ind w:hanging="271"/>
      </w:pPr>
      <w:r>
        <w:t>Write paragraphs 1–2 after the body so the thesis accurately previews the report.</w:t>
      </w:r>
    </w:p>
    <w:p w:rsidR="00524B0C" w:rsidRDefault="00000000">
      <w:pPr>
        <w:numPr>
          <w:ilvl w:val="0"/>
          <w:numId w:val="2"/>
        </w:numPr>
        <w:spacing w:after="80"/>
        <w:ind w:hanging="271"/>
      </w:pPr>
      <w:r>
        <w:t>Write paragraphs 9–10 last, then remove repetition and tighten transitions.</w:t>
      </w:r>
    </w:p>
    <w:p w:rsidR="00524B0C" w:rsidRDefault="00000000">
      <w:pPr>
        <w:numPr>
          <w:ilvl w:val="0"/>
          <w:numId w:val="2"/>
        </w:numPr>
        <w:spacing w:after="80"/>
        <w:ind w:hanging="271"/>
      </w:pPr>
      <w:r>
        <w:t>Run a citation match, page-count check, and rubric check before proofreading sentence-level style.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524B0C">
        <w:trPr>
          <w:cantSplit/>
          <w:tblHeader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524B0C" w:rsidRDefault="00000000">
            <w:pPr>
              <w:spacing w:after="0" w:line="288" w:lineRule="auto"/>
            </w:pPr>
            <w:r>
              <w:rPr>
                <w:b/>
                <w:color w:val="D9232E"/>
                <w:sz w:val="18"/>
              </w:rPr>
              <w:t>READY TO DRAFT</w:t>
            </w:r>
            <w:r>
              <w:rPr>
                <w:b/>
                <w:color w:val="D9232E"/>
                <w:sz w:val="18"/>
              </w:rPr>
              <w:br/>
            </w:r>
            <w:r>
              <w:rPr>
                <w:b/>
                <w:color w:val="1F4D78"/>
              </w:rPr>
              <w:t>If each blueprint block is converted into one focused paragraph, the result should be a balanced four-page report that directly addresses the assignment’s main challenge: demonstrating a local community impact for a global organization.</w:t>
            </w:r>
          </w:p>
        </w:tc>
      </w:tr>
    </w:tbl>
    <w:p w:rsidR="00524B0C" w:rsidRDefault="00524B0C">
      <w:pPr>
        <w:spacing w:after="20"/>
      </w:pPr>
    </w:p>
    <w:sectPr w:rsidR="00524B0C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2A5" w:rsidRDefault="004242A5">
      <w:pPr>
        <w:spacing w:after="0" w:line="240" w:lineRule="auto"/>
      </w:pPr>
      <w:r>
        <w:separator/>
      </w:r>
    </w:p>
  </w:endnote>
  <w:endnote w:type="continuationSeparator" w:id="0">
    <w:p w:rsidR="004242A5" w:rsidRDefault="0042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0C" w:rsidRDefault="00000000">
    <w:pPr>
      <w:pStyle w:val="Footer"/>
      <w:jc w:val="center"/>
    </w:pPr>
    <w:r>
      <w:rPr>
        <w:color w:val="68717A"/>
        <w:sz w:val="17"/>
      </w:rPr>
      <w:t xml:space="preserve">  </w:t>
    </w:r>
    <w:r>
      <w:fldChar w:fldCharType="begin"/>
    </w:r>
    <w:r>
      <w:instrText xml:space="preserve"> PAGE </w:instrText>
    </w:r>
    <w:r>
      <w:fldChar w:fldCharType="separate"/>
    </w:r>
    <w:r w:rsidR="004E77B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2A5" w:rsidRDefault="004242A5">
      <w:pPr>
        <w:spacing w:after="0" w:line="240" w:lineRule="auto"/>
      </w:pPr>
      <w:r>
        <w:separator/>
      </w:r>
    </w:p>
  </w:footnote>
  <w:footnote w:type="continuationSeparator" w:id="0">
    <w:p w:rsidR="004242A5" w:rsidRDefault="00424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0C" w:rsidRDefault="00000000">
    <w:pPr>
      <w:pStyle w:val="Header"/>
    </w:pPr>
    <w:r>
      <w:rPr>
        <w:b/>
        <w:color w:val="68717A"/>
        <w:sz w:val="17"/>
      </w:rPr>
      <w:t>COMMUNITY RESOURCES | WORKING 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B09D9"/>
    <w:multiLevelType w:val="singleLevel"/>
    <w:tmpl w:val="1AD4A61E"/>
    <w:lvl w:ilvl="0">
      <w:start w:val="1"/>
      <w:numFmt w:val="decimal"/>
      <w:pStyle w:val="ListBullet"/>
      <w:lvlText w:val="%1."/>
      <w:lvlJc w:val="left"/>
      <w:pPr>
        <w:tabs>
          <w:tab w:val="num" w:pos="540"/>
        </w:tabs>
        <w:ind w:left="540" w:hanging="270"/>
      </w:pPr>
    </w:lvl>
  </w:abstractNum>
  <w:abstractNum w:abstractNumId="10" w15:restartNumberingAfterBreak="0">
    <w:nsid w:val="196C7DE2"/>
    <w:multiLevelType w:val="singleLevel"/>
    <w:tmpl w:val="513E24F0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" w16cid:durableId="1177185033">
    <w:abstractNumId w:val="9"/>
  </w:num>
  <w:num w:numId="2" w16cid:durableId="96766160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733A"/>
    <w:rsid w:val="004242A5"/>
    <w:rsid w:val="004E77B5"/>
    <w:rsid w:val="00524B0C"/>
    <w:rsid w:val="008E4E6B"/>
    <w:rsid w:val="00A35E09"/>
    <w:rsid w:val="00A74442"/>
    <w:rsid w:val="00AA1D8D"/>
    <w:rsid w:val="00B47730"/>
    <w:rsid w:val="00CB0664"/>
    <w:rsid w:val="00D45A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95F430"/>
  <w14:defaultImageDpi w14:val="300"/>
  <w15:docId w15:val="{167C0556-A1B1-6142-9003-83435B1B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21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540"/>
      </w:tabs>
      <w:ind w:left="540" w:hanging="27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DLabel">
    <w:name w:val="WD Label"/>
    <w:pPr>
      <w:spacing w:after="40" w:line="288" w:lineRule="auto"/>
    </w:pPr>
    <w:rPr>
      <w:rFonts w:ascii="Calibri" w:hAnsi="Calibri"/>
      <w:b/>
      <w:color w:val="D9232E"/>
      <w:sz w:val="19"/>
    </w:rPr>
  </w:style>
  <w:style w:type="paragraph" w:customStyle="1" w:styleId="WDBlock">
    <w:name w:val="WD Block"/>
    <w:pPr>
      <w:spacing w:after="100" w:line="288" w:lineRule="auto"/>
    </w:pPr>
    <w:rPr>
      <w:rFonts w:ascii="Calibri" w:hAnsi="Calibri"/>
      <w:color w:val="202124"/>
      <w:sz w:val="21"/>
    </w:rPr>
  </w:style>
  <w:style w:type="paragraph" w:customStyle="1" w:styleId="WDSource">
    <w:name w:val="WD Source"/>
    <w:pPr>
      <w:spacing w:after="80" w:line="288" w:lineRule="auto"/>
    </w:pPr>
    <w:rPr>
      <w:rFonts w:ascii="Calibri" w:hAnsi="Calibri"/>
      <w:color w:val="68717A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4284</Words>
  <Characters>24423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Doctors Without Borders Working Draft: Community Resources Assessment</dc:title>
  <dc:subject>Rubric-aligned working draft focused on Rohingya refugees in the Cox's Bazar camps</dc:subject>
  <dc:creator/>
  <cp:keywords>Doctors Without Borders; MSF; Cox's Bazar; Rohingya; community resources; nursing</cp:keywords>
  <dc:description>generated by python-docx</dc:description>
  <cp:lastModifiedBy>Microsoft Office User</cp:lastModifiedBy>
  <cp:revision>7</cp:revision>
  <dcterms:created xsi:type="dcterms:W3CDTF">2013-12-23T23:15:00Z</dcterms:created>
  <dcterms:modified xsi:type="dcterms:W3CDTF">2026-08-10T14:14:00Z</dcterms:modified>
  <cp:category/>
</cp:coreProperties>
</file>