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 xml:space="preserve">Historical Analysis Worksheet: </w:t>
      </w:r>
      <w:r>
        <w:rPr>
          <w:rFonts w:ascii="Times New Roman" w:eastAsia="Times New Roman" w:hAnsi="Times New Roman" w:cs="Times New Roman"/>
          <w:b/>
          <w:bCs/>
          <w:kern w:val="36"/>
          <w:sz w:val="48"/>
          <w:szCs w:val="48"/>
          <w14:ligatures w14:val="none"/>
        </w:rPr>
        <w:t>Proposed Outline.</w: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Resource Readiness Check</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required materials are available:</w:t>
      </w:r>
    </w:p>
    <w:p w:rsidR="0023630A" w:rsidRPr="0023630A" w:rsidRDefault="0023630A" w:rsidP="0023630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Two primary sources: Robinson’s memoir and King’s Holt Street speech.</w:t>
      </w:r>
    </w:p>
    <w:p w:rsidR="0023630A" w:rsidRPr="0023630A" w:rsidRDefault="0023630A" w:rsidP="0023630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Two secondary sources: the U.S. House historical essay and Alderman et al.’s scholarly journal article.</w:t>
      </w:r>
    </w:p>
    <w:p w:rsidR="0023630A" w:rsidRPr="0023630A" w:rsidRDefault="0023630A" w:rsidP="0023630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One secondary source is a peer-reviewed scholarly article.</w:t>
      </w:r>
    </w:p>
    <w:p w:rsidR="0023630A" w:rsidRPr="0023630A" w:rsidRDefault="0023630A" w:rsidP="0023630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sources support the selected topic: local organizing behind the Montgomery Bus Boycott.</w:t>
      </w:r>
    </w:p>
    <w:p w:rsidR="0023630A" w:rsidRPr="0023630A" w:rsidRDefault="0023630A" w:rsidP="0023630A">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 specific nonprofit does not need to be named. The final section can address nonprofit groups generally.</w: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Strong Working Argument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Montgomery Bus Boycott was sustained by more than prominent leaders and public speeches. Its success depended on preparation by local women’s organizations, cooperation among churches and residents, a community-run transportation network, financial contributions, and a unified public message. Present-day nonprofit groups can learn that successful campaigns require trusted relationships, practical support for participants, shared responsibility, effective communication, and preparation for prolonged resistance.</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40"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Step 1: KNOWLEDGE</w: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Research Question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State the central question that the historical analysis will answer.</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r w:rsidRPr="0023630A">
        <w:rPr>
          <w:rFonts w:ascii="Times New Roman" w:eastAsia="Times New Roman" w:hAnsi="Times New Roman" w:cs="Times New Roman"/>
          <w:kern w:val="0"/>
          <w14:ligatures w14:val="none"/>
        </w:rPr>
        <w:t xml:space="preserve"> Local organizing, the boycott’s endurance, its effects, and lessons for nonprofit groups.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Use/source(s):</w:t>
      </w:r>
      <w:r w:rsidRPr="0023630A">
        <w:rPr>
          <w:rFonts w:ascii="Times New Roman" w:eastAsia="Times New Roman" w:hAnsi="Times New Roman" w:cs="Times New Roman"/>
          <w:kern w:val="0"/>
          <w14:ligatures w14:val="none"/>
        </w:rPr>
        <w:t xml:space="preserve"> All four sources.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idea:</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How did local organizing help initiate and sustain the Montgomery Bus Boycott of 1955–1956, and what lessons can nonprofit groups learn from the strategies and challenges experienced by the boycott’s organizers?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lastRenderedPageBreak/>
        <w:t>Must include:</w:t>
      </w:r>
      <w:r w:rsidRPr="0023630A">
        <w:rPr>
          <w:rFonts w:ascii="Times New Roman" w:eastAsia="Times New Roman" w:hAnsi="Times New Roman" w:cs="Times New Roman"/>
          <w:kern w:val="0"/>
          <w14:ligatures w14:val="none"/>
        </w:rPr>
        <w:t xml:space="preserve"> Both the historical event and its present-day relevance.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Identify a question that must be answered to understand a historical event and its long-term impact.</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9"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Supplementary Questions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Add questions that deepen the investigation.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r w:rsidRPr="0023630A">
        <w:rPr>
          <w:rFonts w:ascii="Times New Roman" w:eastAsia="Times New Roman" w:hAnsi="Times New Roman" w:cs="Times New Roman"/>
          <w:kern w:val="0"/>
          <w14:ligatures w14:val="none"/>
        </w:rPr>
        <w:t xml:space="preserve"> Organizers, institutions, transportation, messaging, resistance, and historical interpretation.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ideas:</w:t>
      </w:r>
    </w:p>
    <w:p w:rsidR="0023630A" w:rsidRPr="0023630A" w:rsidRDefault="0023630A" w:rsidP="0023630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What roles did the Women’s Political Council, churches, the Montgomery Improvement Association, and ordinary residents play in organizing and sustaining the boycott?</w:t>
      </w:r>
    </w:p>
    <w:p w:rsidR="0023630A" w:rsidRPr="0023630A" w:rsidRDefault="0023630A" w:rsidP="0023630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How did the carpool system and other forms of community support make continued participation possible?</w:t>
      </w:r>
    </w:p>
    <w:p w:rsidR="0023630A" w:rsidRPr="0023630A" w:rsidRDefault="0023630A" w:rsidP="0023630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What legal, financial, and political challenges did the organizers and participants face?</w:t>
      </w:r>
    </w:p>
    <w:p w:rsidR="0023630A" w:rsidRPr="0023630A" w:rsidRDefault="0023630A" w:rsidP="0023630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Why do some historical accounts emphasize famous leaders while others emphasize women, local institutions, and ordinary residents?</w:t>
      </w:r>
    </w:p>
    <w:p w:rsidR="0023630A" w:rsidRPr="0023630A" w:rsidRDefault="0023630A" w:rsidP="0023630A">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Which organizing strategies from the boycott could help nonprofit groups maintain participation in a long-term campaign today?</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Must include:</w:t>
      </w:r>
      <w:r w:rsidRPr="0023630A">
        <w:rPr>
          <w:rFonts w:ascii="Times New Roman" w:eastAsia="Times New Roman" w:hAnsi="Times New Roman" w:cs="Times New Roman"/>
          <w:kern w:val="0"/>
          <w14:ligatures w14:val="none"/>
        </w:rPr>
        <w:t xml:space="preserve"> At least two questions. Questions 1, 2, and 5 are the strongest set if concision is important.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Citation reminder:</w:t>
      </w:r>
      <w:r w:rsidRPr="0023630A">
        <w:rPr>
          <w:rFonts w:ascii="Times New Roman" w:eastAsia="Times New Roman" w:hAnsi="Times New Roman" w:cs="Times New Roman"/>
          <w:kern w:val="0"/>
          <w14:ligatures w14:val="none"/>
        </w:rPr>
        <w:t xml:space="preserve"> Citations are usually unnecessary after research questions unless the instructor specifically requires them.</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Demonstrate the questions needed for a deeper understanding of the event and its impact.</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8"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Step 2: COMPREHENSION</w: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Present-Day America and Historical Context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Explain what the history reveals about the issue in present-day America.</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p>
    <w:p w:rsidR="0023630A" w:rsidRPr="0023630A" w:rsidRDefault="0023630A" w:rsidP="0023630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lastRenderedPageBreak/>
        <w:t>Civil-rights campaigns depend on collective participation.</w:t>
      </w:r>
    </w:p>
    <w:p w:rsidR="0023630A" w:rsidRPr="0023630A" w:rsidRDefault="0023630A" w:rsidP="0023630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Public attention often centers on prominent leaders.</w:t>
      </w:r>
    </w:p>
    <w:p w:rsidR="0023630A" w:rsidRPr="0023630A" w:rsidRDefault="0023630A" w:rsidP="0023630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Less-visible organizing work makes sustained action possible.</w:t>
      </w:r>
    </w:p>
    <w:p w:rsidR="0023630A" w:rsidRPr="0023630A" w:rsidRDefault="0023630A" w:rsidP="0023630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People need practical support to participate over time.</w:t>
      </w:r>
    </w:p>
    <w:p w:rsidR="0023630A" w:rsidRPr="0023630A" w:rsidRDefault="0023630A" w:rsidP="0023630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Communication methods have changed, but trust and coordination remain important.</w:t>
      </w:r>
    </w:p>
    <w:p w:rsidR="0023630A" w:rsidRPr="0023630A" w:rsidRDefault="0023630A" w:rsidP="0023630A">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Historical context included legally enforced segregation, racial humiliation on buses, and risks faced by Black residents who resisted.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Use/source(s):</w:t>
      </w:r>
    </w:p>
    <w:p w:rsidR="0023630A" w:rsidRPr="0023630A" w:rsidRDefault="0023630A" w:rsidP="0023630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Robinson for preparation by the Women’s Political Council.</w:t>
      </w:r>
    </w:p>
    <w:p w:rsidR="0023630A" w:rsidRPr="0023630A" w:rsidRDefault="0023630A" w:rsidP="0023630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King for the public moral and nonviolent message.</w:t>
      </w:r>
    </w:p>
    <w:p w:rsidR="0023630A" w:rsidRPr="0023630A" w:rsidRDefault="0023630A" w:rsidP="0023630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Alderman et al. for the carpool network and daily sacrifices.</w:t>
      </w:r>
    </w:p>
    <w:p w:rsidR="0023630A" w:rsidRPr="0023630A" w:rsidRDefault="0023630A" w:rsidP="0023630A">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U.S. House essay for national influence and federal civil-rights action.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idea:</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Present-day civil-rights advocacy still depends on the ability of organizations to inform, mobilize, and support community members. Public campaigns may become associated with their most visible leaders, but the history of the Montgomery Bus Boycott demonstrates that less-visible work is often what allows a movement to continue. The boycott developed in the context of legally enforced segregation and repeated mistreatment of Black bus passengers. Robinson’s account indicates that local women had already developed relationships and communication networks before Rosa Parks’s arrest generated the immediate protest (Robinson, 1987). This history suggests that successful advocacy requires preparation before a crisis attracts widespread public attention.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Continue in your own words: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boycott also helps explain why participation requires more than agreement with a cause. Community members needed a realistic way to travel to work, school, church, and other destinations without using city buses. Alderman et al. (2013) show that the movement responded by creating ____________. This example is relevant today because nonprofit groups must consider ____________, not only their public message.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Must include:</w:t>
      </w:r>
    </w:p>
    <w:p w:rsidR="0023630A" w:rsidRPr="0023630A" w:rsidRDefault="0023630A" w:rsidP="0023630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 clear connection between past and present.</w:t>
      </w:r>
    </w:p>
    <w:p w:rsidR="0023630A" w:rsidRPr="0023630A" w:rsidRDefault="0023630A" w:rsidP="0023630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legal and social context of segregation.</w:t>
      </w:r>
    </w:p>
    <w:p w:rsidR="0023630A" w:rsidRPr="0023630A" w:rsidRDefault="0023630A" w:rsidP="0023630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Recognition that local organizing preceded the public boycott.</w:t>
      </w:r>
    </w:p>
    <w:p w:rsidR="0023630A" w:rsidRPr="0023630A" w:rsidRDefault="0023630A" w:rsidP="0023630A">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 distinction between visible leadership and community infrastructure.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Example to add:</w:t>
      </w:r>
      <w:r w:rsidRPr="0023630A">
        <w:rPr>
          <w:rFonts w:ascii="Times New Roman" w:eastAsia="Times New Roman" w:hAnsi="Times New Roman" w:cs="Times New Roman"/>
          <w:kern w:val="0"/>
          <w14:ligatures w14:val="none"/>
        </w:rPr>
        <w:t xml:space="preserve"> A campaign may attract supporters, but participation will decline if the organization does not address transportation, communication, childcare, scheduling, cost, or safety barriers.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lastRenderedPageBreak/>
        <w:t>Citation reminder:</w:t>
      </w:r>
      <w:r w:rsidRPr="0023630A">
        <w:rPr>
          <w:rFonts w:ascii="Times New Roman" w:eastAsia="Times New Roman" w:hAnsi="Times New Roman" w:cs="Times New Roman"/>
          <w:kern w:val="0"/>
          <w14:ligatures w14:val="none"/>
        </w:rPr>
        <w:t xml:space="preserve"> Place citations after claims drawn from Robinson and Alderman et al.</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Describe historical information that can inform a current understanding of the issue.</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7"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Evidence for the Nonprofit Group and Missing Evidence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Identify the most useful evidence for the eventual presentation and acknowledge what the current source set cannot establish.</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Women’s Political Council distributed boycott notices.</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Churches served as trusted meeting and communication sites.</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Residents voted to continue the protest.</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King framed the campaign around citizenship, justice, unity, legality, and nonviolence.</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Montgomery Improvement Association coordinated a carpool.</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Churches and businesses became pickup and dispatch locations.</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Women raised money.</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Participants faced surveillance, fines, arrests, and harassment.</w:t>
      </w:r>
    </w:p>
    <w:p w:rsidR="0023630A" w:rsidRPr="0023630A" w:rsidRDefault="0023630A" w:rsidP="0023630A">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Local action gained national attention and contributed to a wider civil-rights struggle.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Use/source(s):</w:t>
      </w:r>
      <w:r w:rsidRPr="0023630A">
        <w:rPr>
          <w:rFonts w:ascii="Times New Roman" w:eastAsia="Times New Roman" w:hAnsi="Times New Roman" w:cs="Times New Roman"/>
          <w:kern w:val="0"/>
          <w14:ligatures w14:val="none"/>
        </w:rPr>
        <w:t xml:space="preserve"> All four sources.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idea:</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presentation should emphasize that the boycott combined moral persuasion with practical organization. Robinson (1987) describes how the Women’s Political Council distributed notices for the initial protest and how churches supported communication and decision-making. King’s speech shows how leaders presented the boycott as a lawful and nonviolent demand for dignity and equal citizenship (King, 1955). Alderman et al. (2013) provide evidence that the movement created a large transportation network using churches, businesses, drivers, dispatch stations, fundraising, and community cooperation. The U.S. House historical essay places the boycott within the broader national campaign for federal civil-rights legislation (Office of the Historian, U.S. House of Representatives, n.d.).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Missing-evidence frame: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current evidence does not fully show how every participant experienced the boycott or how organizers resolved internal disagreements. It also gives limited information about people who could not participate, the complete financial cost of the campaign, and the perspectives of bus workers or city officials. Additional evidence could be found in oral histories, local newspapers, Montgomery Improvement Association records, Women’s Political Council documents, city records, court documents, and archived interviews with residents.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lastRenderedPageBreak/>
        <w:t>Must include:</w:t>
      </w:r>
      <w:r w:rsidRPr="0023630A">
        <w:rPr>
          <w:rFonts w:ascii="Times New Roman" w:eastAsia="Times New Roman" w:hAnsi="Times New Roman" w:cs="Times New Roman"/>
          <w:kern w:val="0"/>
          <w14:ligatures w14:val="none"/>
        </w:rPr>
        <w:t xml:space="preserve"> At least one specific evidence gap and a credible place where it could be investigated.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Example to add:</w:t>
      </w:r>
      <w:r w:rsidRPr="0023630A">
        <w:rPr>
          <w:rFonts w:ascii="Times New Roman" w:eastAsia="Times New Roman" w:hAnsi="Times New Roman" w:cs="Times New Roman"/>
          <w:kern w:val="0"/>
          <w14:ligatures w14:val="none"/>
        </w:rPr>
        <w:t xml:space="preserve"> Oral histories from domestic workers could clarify how walking or using the carpool affected people whose jobs depended on arriving at specific times.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Citation reminder:</w:t>
      </w:r>
      <w:r w:rsidRPr="0023630A">
        <w:rPr>
          <w:rFonts w:ascii="Times New Roman" w:eastAsia="Times New Roman" w:hAnsi="Times New Roman" w:cs="Times New Roman"/>
          <w:kern w:val="0"/>
          <w14:ligatures w14:val="none"/>
        </w:rPr>
        <w:t xml:space="preserve"> Cite each source where its distinct evidence is introduced.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Select relevant evidence while recognizing what further information is needed.</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6"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Step 3: APPLICATION</w: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Links, Similarities, and Discrepancies Among the Sources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Compare the four sources instead of summarizing them separately.</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p>
    <w:p w:rsidR="0023630A" w:rsidRPr="0023630A" w:rsidRDefault="0023630A" w:rsidP="0023630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30A">
        <w:rPr>
          <w:rFonts w:ascii="Times New Roman" w:eastAsia="Times New Roman" w:hAnsi="Times New Roman" w:cs="Times New Roman"/>
          <w:b/>
          <w:bCs/>
          <w:kern w:val="0"/>
          <w:sz w:val="27"/>
          <w:szCs w:val="27"/>
          <w14:ligatures w14:val="none"/>
        </w:rPr>
        <w:t>Similarities</w:t>
      </w:r>
    </w:p>
    <w:p w:rsidR="0023630A" w:rsidRPr="0023630A" w:rsidRDefault="0023630A" w:rsidP="0023630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All sources recognize the boycott as a collective challenge to segregation.</w:t>
      </w:r>
    </w:p>
    <w:p w:rsidR="0023630A" w:rsidRPr="0023630A" w:rsidRDefault="0023630A" w:rsidP="0023630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Robinson and Alderman et al. emphasize community organization and practical support.</w:t>
      </w:r>
    </w:p>
    <w:p w:rsidR="0023630A" w:rsidRPr="0023630A" w:rsidRDefault="0023630A" w:rsidP="0023630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King and the House essay emphasize leadership, public meaning, and broader civil-rights goals.</w:t>
      </w:r>
    </w:p>
    <w:p w:rsidR="0023630A" w:rsidRPr="0023630A" w:rsidRDefault="0023630A" w:rsidP="0023630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sources agree that Rosa Parks’s arrest helped trigger the immediate protest.</w:t>
      </w:r>
    </w:p>
    <w:p w:rsidR="0023630A" w:rsidRPr="0023630A" w:rsidRDefault="0023630A" w:rsidP="0023630A">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Together, they show that organization and persuasive leadership supported each other.</w:t>
      </w:r>
    </w:p>
    <w:p w:rsidR="0023630A" w:rsidRPr="0023630A" w:rsidRDefault="0023630A" w:rsidP="0023630A">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23630A">
        <w:rPr>
          <w:rFonts w:ascii="Times New Roman" w:eastAsia="Times New Roman" w:hAnsi="Times New Roman" w:cs="Times New Roman"/>
          <w:b/>
          <w:bCs/>
          <w:kern w:val="0"/>
          <w:sz w:val="27"/>
          <w:szCs w:val="27"/>
          <w14:ligatures w14:val="none"/>
        </w:rPr>
        <w:t>Differences or discrepancies</w:t>
      </w:r>
    </w:p>
    <w:p w:rsidR="0023630A" w:rsidRPr="0023630A" w:rsidRDefault="0023630A" w:rsidP="0023630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Robinson writes as a participant recalling events decades later.</w:t>
      </w:r>
    </w:p>
    <w:p w:rsidR="0023630A" w:rsidRPr="0023630A" w:rsidRDefault="0023630A" w:rsidP="0023630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King speaks during the first day and tries to persuade listeners to continue.</w:t>
      </w:r>
    </w:p>
    <w:p w:rsidR="0023630A" w:rsidRPr="0023630A" w:rsidRDefault="0023630A" w:rsidP="0023630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House essay offers an institutional, congressional perspective.</w:t>
      </w:r>
    </w:p>
    <w:p w:rsidR="0023630A" w:rsidRPr="0023630A" w:rsidRDefault="0023630A" w:rsidP="0023630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Alderman et al. deliberately shift attention toward space, transportation, emotion, women, and ordinary participants.</w:t>
      </w:r>
    </w:p>
    <w:p w:rsidR="0023630A" w:rsidRPr="0023630A" w:rsidRDefault="0023630A" w:rsidP="0023630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King’s speech foregrounds moral unity, while Alderman et al. reveal logistical complexity and everyday sacrifice.</w:t>
      </w:r>
    </w:p>
    <w:p w:rsidR="0023630A" w:rsidRPr="0023630A" w:rsidRDefault="0023630A" w:rsidP="0023630A">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differences are mainly matters of purpose and emphasis, not direct factual contradictions.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Use/source(s):</w:t>
      </w:r>
      <w:r w:rsidRPr="0023630A">
        <w:rPr>
          <w:rFonts w:ascii="Times New Roman" w:eastAsia="Times New Roman" w:hAnsi="Times New Roman" w:cs="Times New Roman"/>
          <w:kern w:val="0"/>
          <w14:ligatures w14:val="none"/>
        </w:rPr>
        <w:t xml:space="preserve"> All four sources.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idea:</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lastRenderedPageBreak/>
        <w:t>The sources are linked by their recognition that the boycott required collective action against an unjust transportation system. Robinson (1987) and Alderman et al. (2013) place particular emphasis on local preparation, women organizers, churches, carpools, and daily participation. King (1955) and the House historical essay give greater attention to public leadership, the moral meaning of the protest, and its place in the national civil-rights movement. These perspectives complement one another because the boycott needed both an effective public message and a functioning local support system.</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Discrepancy frame: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sources differ most clearly in what they place at the center of the story. King’s speech presents a unified public message at the beginning of the boycott, while the later historical accounts can examine complications that would not fit the purpose of a motivational speech. Robinson’s personal recollection highlights the Women’s Political Council, whereas the House essay concentrates more heavily on King, Congress, and federal legislation. These differences show that a source’s author, purpose, timing, and intended audience influence which parts of history receive attention.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Must include:</w:t>
      </w:r>
      <w:r w:rsidRPr="0023630A">
        <w:rPr>
          <w:rFonts w:ascii="Times New Roman" w:eastAsia="Times New Roman" w:hAnsi="Times New Roman" w:cs="Times New Roman"/>
          <w:kern w:val="0"/>
          <w14:ligatures w14:val="none"/>
        </w:rPr>
        <w:t xml:space="preserve"> Explain why the sources differ; do not merely state that they are different.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Example to add:</w:t>
      </w:r>
      <w:r w:rsidRPr="0023630A">
        <w:rPr>
          <w:rFonts w:ascii="Times New Roman" w:eastAsia="Times New Roman" w:hAnsi="Times New Roman" w:cs="Times New Roman"/>
          <w:kern w:val="0"/>
          <w14:ligatures w14:val="none"/>
        </w:rPr>
        <w:t xml:space="preserve"> King’s omission of operational details does not necessarily make his speech inaccurate because his immediate purpose was to motivate a mass meeting rather than document every organizer’s contribution.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Citation reminder:</w:t>
      </w:r>
      <w:r w:rsidRPr="0023630A">
        <w:rPr>
          <w:rFonts w:ascii="Times New Roman" w:eastAsia="Times New Roman" w:hAnsi="Times New Roman" w:cs="Times New Roman"/>
          <w:kern w:val="0"/>
          <w14:ligatures w14:val="none"/>
        </w:rPr>
        <w:t xml:space="preserve"> Use multiple citations in this response because it directly compares the sources.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Explain similarities and differences in sources of historical information.</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5"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Step 4: ANALYZE</w: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Strong Pieces of Evidence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Identify the evidence that most convincingly supports the argument.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p>
    <w:p w:rsidR="0023630A" w:rsidRPr="0023630A" w:rsidRDefault="0023630A" w:rsidP="0023630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Robinson’s firsthand description of advance organizing and notice distribution.</w:t>
      </w:r>
    </w:p>
    <w:p w:rsidR="0023630A" w:rsidRPr="0023630A" w:rsidRDefault="0023630A" w:rsidP="0023630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King’s recorded speech as direct evidence of the movement’s early public message.</w:t>
      </w:r>
    </w:p>
    <w:p w:rsidR="0023630A" w:rsidRPr="0023630A" w:rsidRDefault="0023630A" w:rsidP="0023630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documented structure and scale of the carpool system.</w:t>
      </w:r>
    </w:p>
    <w:p w:rsidR="0023630A" w:rsidRPr="0023630A" w:rsidRDefault="0023630A" w:rsidP="0023630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Agreement between primary and secondary sources about churches and community participation.</w:t>
      </w:r>
    </w:p>
    <w:p w:rsidR="0023630A" w:rsidRPr="0023630A" w:rsidRDefault="0023630A" w:rsidP="0023630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peer-reviewed nature and extensive documentation of Alderman et al.</w:t>
      </w:r>
    </w:p>
    <w:p w:rsidR="0023630A" w:rsidRPr="0023630A" w:rsidRDefault="0023630A" w:rsidP="0023630A">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lastRenderedPageBreak/>
        <w:t>Evidence connecting the local campaign to national awareness and political action.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Use/source(s):</w:t>
      </w:r>
      <w:r w:rsidRPr="0023630A">
        <w:rPr>
          <w:rFonts w:ascii="Times New Roman" w:eastAsia="Times New Roman" w:hAnsi="Times New Roman" w:cs="Times New Roman"/>
          <w:kern w:val="0"/>
          <w14:ligatures w14:val="none"/>
        </w:rPr>
        <w:t xml:space="preserve"> Robinson, King, and Alderman et al.; use the House essay for broader impact.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idea:</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strongest evidence combines firsthand accounts with later scholarly analysis. Robinson’s description of the Women’s Political Council distributing notices is strong because she participated in that organizing and identifies specific actions, people, and institutions (Robinson, 1987). King’s recorded speech is also strong primary evidence because it captures the movement’s public message on the boycott’s first day (King, 1955). Alderman et al. (2013) strengthen these accounts by documenting the carpool’s dispatch sites, fundraising, estimated ridership, and the harassment experienced by participants. The agreement among sources with different purposes makes the argument about community organization more convincing.</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Must include:</w:t>
      </w:r>
      <w:r w:rsidRPr="0023630A">
        <w:rPr>
          <w:rFonts w:ascii="Times New Roman" w:eastAsia="Times New Roman" w:hAnsi="Times New Roman" w:cs="Times New Roman"/>
          <w:kern w:val="0"/>
          <w14:ligatures w14:val="none"/>
        </w:rPr>
        <w:t xml:space="preserve"> Explain why the evidence is strong, not only what it says.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Example to add:</w:t>
      </w:r>
      <w:r w:rsidRPr="0023630A">
        <w:rPr>
          <w:rFonts w:ascii="Times New Roman" w:eastAsia="Times New Roman" w:hAnsi="Times New Roman" w:cs="Times New Roman"/>
          <w:kern w:val="0"/>
          <w14:ligatures w14:val="none"/>
        </w:rPr>
        <w:t xml:space="preserve"> Robinson establishes that organizing networks existed, while Alderman et al. demonstrate how those networks became a working transportation system.</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Citation reminder:</w:t>
      </w:r>
      <w:r w:rsidRPr="0023630A">
        <w:rPr>
          <w:rFonts w:ascii="Times New Roman" w:eastAsia="Times New Roman" w:hAnsi="Times New Roman" w:cs="Times New Roman"/>
          <w:kern w:val="0"/>
          <w14:ligatures w14:val="none"/>
        </w:rPr>
        <w:t xml:space="preserve"> Cite all three sources after their evidence is described.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Analyze the strengths of historical evidence.</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4"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Weak Pieces of Evidence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Identify limitations without dismissing the sources entirely.</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p>
    <w:p w:rsidR="0023630A" w:rsidRPr="0023630A" w:rsidRDefault="0023630A" w:rsidP="0023630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Robinson recalled events more than 30 years later.</w:t>
      </w:r>
    </w:p>
    <w:p w:rsidR="0023630A" w:rsidRPr="0023630A" w:rsidRDefault="0023630A" w:rsidP="0023630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King was persuading an audience and did not aim to provide a balanced historical account.</w:t>
      </w:r>
    </w:p>
    <w:p w:rsidR="0023630A" w:rsidRPr="0023630A" w:rsidRDefault="0023630A" w:rsidP="0023630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House essay’s institutional focus may underrepresent neighborhood organizers.</w:t>
      </w:r>
    </w:p>
    <w:p w:rsidR="0023630A" w:rsidRPr="0023630A" w:rsidRDefault="0023630A" w:rsidP="0023630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Alderman et al. were not eyewitnesses.</w:t>
      </w:r>
    </w:p>
    <w:p w:rsidR="0023630A" w:rsidRPr="0023630A" w:rsidRDefault="0023630A" w:rsidP="0023630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Ridership estimates may not capture every trip or participant.</w:t>
      </w:r>
    </w:p>
    <w:p w:rsidR="0023630A" w:rsidRPr="0023630A" w:rsidRDefault="0023630A" w:rsidP="0023630A">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None of the four sources fully represents all residents’ experiences.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Use/source(s):</w:t>
      </w:r>
      <w:r w:rsidRPr="0023630A">
        <w:rPr>
          <w:rFonts w:ascii="Times New Roman" w:eastAsia="Times New Roman" w:hAnsi="Times New Roman" w:cs="Times New Roman"/>
          <w:kern w:val="0"/>
          <w14:ligatures w14:val="none"/>
        </w:rPr>
        <w:t xml:space="preserve"> All four sources.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idea:</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 xml:space="preserve">Some evidence is weaker for answering particular questions. Robinson’s memoir offers valuable firsthand knowledge, but the long period between the boycott and publication creates the </w:t>
      </w:r>
      <w:r w:rsidRPr="0023630A">
        <w:rPr>
          <w:rFonts w:ascii="Times New Roman" w:eastAsia="Times New Roman" w:hAnsi="Times New Roman" w:cs="Times New Roman"/>
          <w:kern w:val="0"/>
          <w14:ligatures w14:val="none"/>
        </w:rPr>
        <w:lastRenderedPageBreak/>
        <w:t>possibility of incomplete or selective memory. King’s speech accurately reveals his public strategy, but it was designed to persuade an audience and therefore cannot be treated as a neutral account of every disagreement or organizational problem. The House essay is well documented, but its congressional perspective gives more attention to national leaders and legislation than to local residents. Alderman et al. (2013) provide careful scholarly analysis, although the authors did not witness the events and must depend on surviving records and earlier accounts.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Must include:</w:t>
      </w:r>
      <w:r w:rsidRPr="0023630A">
        <w:rPr>
          <w:rFonts w:ascii="Times New Roman" w:eastAsia="Times New Roman" w:hAnsi="Times New Roman" w:cs="Times New Roman"/>
          <w:kern w:val="0"/>
          <w14:ligatures w14:val="none"/>
        </w:rPr>
        <w:t xml:space="preserve"> A limitation does not automatically make a source unreliable. Explain what question each source can and cannot answer well.</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Example to add:</w:t>
      </w:r>
      <w:r w:rsidRPr="0023630A">
        <w:rPr>
          <w:rFonts w:ascii="Times New Roman" w:eastAsia="Times New Roman" w:hAnsi="Times New Roman" w:cs="Times New Roman"/>
          <w:kern w:val="0"/>
          <w14:ligatures w14:val="none"/>
        </w:rPr>
        <w:t xml:space="preserve"> King’s speech is strong evidence of public rhetoric but weaker evidence about private planning meetings.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Citation reminder:</w:t>
      </w:r>
      <w:r w:rsidRPr="0023630A">
        <w:rPr>
          <w:rFonts w:ascii="Times New Roman" w:eastAsia="Times New Roman" w:hAnsi="Times New Roman" w:cs="Times New Roman"/>
          <w:kern w:val="0"/>
          <w14:ligatures w14:val="none"/>
        </w:rPr>
        <w:t xml:space="preserve"> Cite the source when discussing its limitation.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Analyze weaknesses and limitations in historical evidence.</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3"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Challenges in Using the Evidence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Explain the broader problems involved in constructing a historical argument.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p>
    <w:p w:rsidR="0023630A" w:rsidRPr="0023630A" w:rsidRDefault="0023630A" w:rsidP="0023630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Sources were created for different purposes.</w:t>
      </w:r>
    </w:p>
    <w:p w:rsidR="0023630A" w:rsidRPr="0023630A" w:rsidRDefault="0023630A" w:rsidP="0023630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Primary sources may be partial, persuasive, or influenced by memory.</w:t>
      </w:r>
    </w:p>
    <w:p w:rsidR="0023630A" w:rsidRPr="0023630A" w:rsidRDefault="0023630A" w:rsidP="0023630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Later historians depend on records that survived.</w:t>
      </w:r>
    </w:p>
    <w:p w:rsidR="0023630A" w:rsidRPr="0023630A" w:rsidRDefault="0023630A" w:rsidP="0023630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Prominent leaders are better documented than ordinary participants.</w:t>
      </w:r>
    </w:p>
    <w:p w:rsidR="0023630A" w:rsidRPr="0023630A" w:rsidRDefault="0023630A" w:rsidP="0023630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Numerical estimates may vary.</w:t>
      </w:r>
    </w:p>
    <w:p w:rsidR="0023630A" w:rsidRPr="0023630A" w:rsidRDefault="0023630A" w:rsidP="0023630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 neat success story may hide conflict, uncertainty, hardship, and uneven recognition.</w:t>
      </w:r>
    </w:p>
    <w:p w:rsidR="0023630A" w:rsidRPr="0023630A" w:rsidRDefault="0023630A" w:rsidP="0023630A">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Present-day organizations operate in a different legal, technological, and social setting.</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Use/source(s):</w:t>
      </w:r>
      <w:r w:rsidRPr="0023630A">
        <w:rPr>
          <w:rFonts w:ascii="Times New Roman" w:eastAsia="Times New Roman" w:hAnsi="Times New Roman" w:cs="Times New Roman"/>
          <w:kern w:val="0"/>
          <w14:ligatures w14:val="none"/>
        </w:rPr>
        <w:t xml:space="preserve"> All four sources.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idea:</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One challenge is avoiding a simplified account in which Rosa Parks’s arrest and King’s leadership alone explain the boycott. Those events were important, but such an argument would overlook the Women’s Political Council, churches, drivers, fundraisers, dispatchers, and thousands of residents. Another challenge is that the available sources were created for different purposes. A speech, memoir, government essay, and scholarly article do not provide the same kind of evidence. Their claims must therefore be compared rather than treated as interchangeable.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Continue in your own words: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lastRenderedPageBreak/>
        <w:t>It is also difficult to transfer historical lessons directly into the present. Nonprofit groups can learn from the boycott’s preparation and shared support, but they must recognize that today’s legal environment, communication technology, and organizational conditions are different. The most defensible lesson is not that modern groups should copy every tactic. Instead, the evidence suggests that ____________.</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Must include:</w:t>
      </w:r>
      <w:r w:rsidRPr="0023630A">
        <w:rPr>
          <w:rFonts w:ascii="Times New Roman" w:eastAsia="Times New Roman" w:hAnsi="Times New Roman" w:cs="Times New Roman"/>
          <w:kern w:val="0"/>
          <w14:ligatures w14:val="none"/>
        </w:rPr>
        <w:t xml:space="preserve"> Both a historical-evidence challenge and a past-to-present comparison challenge.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Example to add:</w:t>
      </w:r>
      <w:r w:rsidRPr="0023630A">
        <w:rPr>
          <w:rFonts w:ascii="Times New Roman" w:eastAsia="Times New Roman" w:hAnsi="Times New Roman" w:cs="Times New Roman"/>
          <w:kern w:val="0"/>
          <w14:ligatures w14:val="none"/>
        </w:rPr>
        <w:t xml:space="preserve"> Social media may spread information quickly, but it does not replace the trusted relationships and practical support needed to sustain participation.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Citation reminder:</w:t>
      </w:r>
      <w:r w:rsidRPr="0023630A">
        <w:rPr>
          <w:rFonts w:ascii="Times New Roman" w:eastAsia="Times New Roman" w:hAnsi="Times New Roman" w:cs="Times New Roman"/>
          <w:kern w:val="0"/>
          <w14:ligatures w14:val="none"/>
        </w:rPr>
        <w:t xml:space="preserve"> Cite Robinson and Alderman et al. when explaining the danger of a leader-centered narrative.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Explain challenges involved in using historical evidence to make an argument.</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2"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Step 5: SYNTHESIS</w: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Summary of the Argument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Job:</w:t>
      </w:r>
      <w:r w:rsidRPr="0023630A">
        <w:rPr>
          <w:rFonts w:ascii="Times New Roman" w:eastAsia="Times New Roman" w:hAnsi="Times New Roman" w:cs="Times New Roman"/>
          <w:kern w:val="0"/>
          <w14:ligatures w14:val="none"/>
        </w:rPr>
        <w:t xml:space="preserve"> Answer the research question and connect the historical findings to nonprofit work.</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Cover:</w:t>
      </w:r>
    </w:p>
    <w:p w:rsidR="0023630A" w:rsidRPr="0023630A" w:rsidRDefault="0023630A" w:rsidP="0023630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Advance preparation by the Women’s Political Council.</w:t>
      </w:r>
    </w:p>
    <w:p w:rsidR="0023630A" w:rsidRPr="0023630A" w:rsidRDefault="0023630A" w:rsidP="0023630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Churches and existing community relationships.</w:t>
      </w:r>
    </w:p>
    <w:p w:rsidR="0023630A" w:rsidRPr="0023630A" w:rsidRDefault="0023630A" w:rsidP="0023630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 clear moral and nonviolent public message.</w:t>
      </w:r>
    </w:p>
    <w:p w:rsidR="0023630A" w:rsidRPr="0023630A" w:rsidRDefault="0023630A" w:rsidP="0023630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carpool and other practical participation supports.</w:t>
      </w:r>
    </w:p>
    <w:p w:rsidR="0023630A" w:rsidRPr="0023630A" w:rsidRDefault="0023630A" w:rsidP="0023630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Distributed work by residents, women, volunteers, businesses, and leaders.</w:t>
      </w:r>
    </w:p>
    <w:p w:rsidR="0023630A" w:rsidRPr="0023630A" w:rsidRDefault="0023630A" w:rsidP="0023630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Persistence despite surveillance, arrests, fines, and harassment.</w:t>
      </w:r>
    </w:p>
    <w:p w:rsidR="0023630A" w:rsidRPr="0023630A" w:rsidRDefault="0023630A" w:rsidP="0023630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National influence arising from sustained local action.</w:t>
      </w:r>
    </w:p>
    <w:p w:rsidR="0023630A" w:rsidRPr="0023630A" w:rsidRDefault="0023630A" w:rsidP="0023630A">
      <w:pPr>
        <w:numPr>
          <w:ilvl w:val="0"/>
          <w:numId w:val="12"/>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Lessons for nonprofit groups.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Use/source(s):</w:t>
      </w:r>
      <w:r w:rsidRPr="0023630A">
        <w:rPr>
          <w:rFonts w:ascii="Times New Roman" w:eastAsia="Times New Roman" w:hAnsi="Times New Roman" w:cs="Times New Roman"/>
          <w:kern w:val="0"/>
          <w14:ligatures w14:val="none"/>
        </w:rPr>
        <w:t xml:space="preserve"> All four sources.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opening:</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 xml:space="preserve">The Montgomery Bus Boycott demonstrates that sustained historical change depends on both persuasive leadership and organized community participation. Rosa Parks’s arrest created an immediate occasion for protest, but the campaign could continue because local women, churches, residents, and community organizations had already developed relationships and methods of communication. Robinson (1987) reveals the preparation behind the first protest, </w:t>
      </w:r>
      <w:r w:rsidRPr="0023630A">
        <w:rPr>
          <w:rFonts w:ascii="Times New Roman" w:eastAsia="Times New Roman" w:hAnsi="Times New Roman" w:cs="Times New Roman"/>
          <w:kern w:val="0"/>
          <w14:ligatures w14:val="none"/>
        </w:rPr>
        <w:lastRenderedPageBreak/>
        <w:t>while King’s Holt Street speech shows how leaders connected the campaign to citizenship, justice, unity, and nonviolence (King, 1955).</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middle: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Practical organization turned those principles into continued action. The carpool system, fundraising efforts, dispatch locations, and volunteer participation allowed residents to avoid the buses despite the demands of everyday life (Alderman et al., 2013). These efforts also continued despite ____________, including surveillance, fines, arrests, and harassment. The House historical essay shows that the influence of the campaign eventually extended beyond Montgomery by attracting national attention and contributing to the broader struggle for federal civil-rights protections (Office of the Historian, U.S. House of Representatives, n.d.).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Draft-ready conclusion: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most useful lesson for nonprofit groups is that a campaign cannot depend entirely on a compelling message or a prominent spokesperson. Organizations must build trust before a crisis, share responsibility, remove practical barriers to participation, communicate through credible networks, and prepare for sustained resistance. At the same time, the sources warn against overlooking the less-visible people whose labor makes public success possible. Therefore, the boycott’s central lesson is that ____________.</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Possible final claim to personalize: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Lasting change becomes possible when organizations connect a clear demand for justice with the community relationships and practical systems that allow people to act together over time.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Must include:</w:t>
      </w:r>
    </w:p>
    <w:p w:rsidR="0023630A" w:rsidRPr="0023630A" w:rsidRDefault="0023630A" w:rsidP="0023630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 direct answer to the research question.</w:t>
      </w:r>
    </w:p>
    <w:p w:rsidR="0023630A" w:rsidRPr="0023630A" w:rsidRDefault="0023630A" w:rsidP="0023630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Evidence from both primary and secondary sources.</w:t>
      </w:r>
    </w:p>
    <w:p w:rsidR="0023630A" w:rsidRPr="0023630A" w:rsidRDefault="0023630A" w:rsidP="0023630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Acknowledgment of both leaders and ordinary participants.</w:t>
      </w:r>
    </w:p>
    <w:p w:rsidR="0023630A" w:rsidRPr="0023630A" w:rsidRDefault="0023630A" w:rsidP="0023630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At least one present-day lesson for nonprofit groups.</w:t>
      </w:r>
    </w:p>
    <w:p w:rsidR="0023630A" w:rsidRPr="0023630A" w:rsidRDefault="0023630A" w:rsidP="0023630A">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No claim that every modern campaign will operate exactly like the boycott.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Citation reminder:</w:t>
      </w:r>
      <w:r w:rsidRPr="0023630A">
        <w:rPr>
          <w:rFonts w:ascii="Times New Roman" w:eastAsia="Times New Roman" w:hAnsi="Times New Roman" w:cs="Times New Roman"/>
          <w:kern w:val="0"/>
          <w14:ligatures w14:val="none"/>
        </w:rPr>
        <w:t xml:space="preserve"> Use all four sources across the summary rather than stacking every citation at the end.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Rubric target:</w:t>
      </w:r>
      <w:r w:rsidRPr="0023630A">
        <w:rPr>
          <w:rFonts w:ascii="Times New Roman" w:eastAsia="Times New Roman" w:hAnsi="Times New Roman" w:cs="Times New Roman"/>
          <w:kern w:val="0"/>
          <w14:ligatures w14:val="none"/>
        </w:rPr>
        <w:t xml:space="preserve"> Use critical thinking to relate past challenges and strategies to a current organizational issue.</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1"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Source Role Map</w: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lastRenderedPageBreak/>
        <w:t>Robinson (1987)</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Best use:</w:t>
      </w:r>
      <w:r w:rsidRPr="0023630A">
        <w:rPr>
          <w:rFonts w:ascii="Times New Roman" w:eastAsia="Times New Roman" w:hAnsi="Times New Roman" w:cs="Times New Roman"/>
          <w:kern w:val="0"/>
          <w14:ligatures w14:val="none"/>
        </w:rPr>
        <w:t xml:space="preserve"> Advance preparation, the Women’s Political Council, notice distribution, churches, local relationships, and women’s organizing.</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Strong evidence:</w:t>
      </w:r>
      <w:r w:rsidRPr="0023630A">
        <w:rPr>
          <w:rFonts w:ascii="Times New Roman" w:eastAsia="Times New Roman" w:hAnsi="Times New Roman" w:cs="Times New Roman"/>
          <w:kern w:val="0"/>
          <w14:ligatures w14:val="none"/>
        </w:rPr>
        <w:t xml:space="preserve"> Specific firsthand details from a participating organizer.</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Limitation:</w:t>
      </w:r>
      <w:r w:rsidRPr="0023630A">
        <w:rPr>
          <w:rFonts w:ascii="Times New Roman" w:eastAsia="Times New Roman" w:hAnsi="Times New Roman" w:cs="Times New Roman"/>
          <w:kern w:val="0"/>
          <w14:ligatures w14:val="none"/>
        </w:rPr>
        <w:t xml:space="preserve"> Written decades after the events and influenced by memory and personal perspective.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Best sections:</w:t>
      </w:r>
      <w:r w:rsidRPr="0023630A">
        <w:rPr>
          <w:rFonts w:ascii="Times New Roman" w:eastAsia="Times New Roman" w:hAnsi="Times New Roman" w:cs="Times New Roman"/>
          <w:kern w:val="0"/>
          <w14:ligatures w14:val="none"/>
        </w:rPr>
        <w:t xml:space="preserve"> Historical context, source similarities, strong evidence, weak evidence, and synthesis.</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30"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King (1955)</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Best use:</w:t>
      </w:r>
      <w:r w:rsidRPr="0023630A">
        <w:rPr>
          <w:rFonts w:ascii="Times New Roman" w:eastAsia="Times New Roman" w:hAnsi="Times New Roman" w:cs="Times New Roman"/>
          <w:kern w:val="0"/>
          <w14:ligatures w14:val="none"/>
        </w:rPr>
        <w:t xml:space="preserve"> The boycott’s early public message, unity, citizenship, lawful protest, dignity, and nonviolence.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Strong evidence:</w:t>
      </w:r>
      <w:r w:rsidRPr="0023630A">
        <w:rPr>
          <w:rFonts w:ascii="Times New Roman" w:eastAsia="Times New Roman" w:hAnsi="Times New Roman" w:cs="Times New Roman"/>
          <w:kern w:val="0"/>
          <w14:ligatures w14:val="none"/>
        </w:rPr>
        <w:t xml:space="preserve"> Recorded at the first Montgomery Improvement Association mass meeting as the boycott began.</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Limitation:</w:t>
      </w:r>
      <w:r w:rsidRPr="0023630A">
        <w:rPr>
          <w:rFonts w:ascii="Times New Roman" w:eastAsia="Times New Roman" w:hAnsi="Times New Roman" w:cs="Times New Roman"/>
          <w:kern w:val="0"/>
          <w14:ligatures w14:val="none"/>
        </w:rPr>
        <w:t xml:space="preserve"> Persuasive speech rather than a neutral or comprehensive history.</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Best sections:</w:t>
      </w:r>
      <w:r w:rsidRPr="0023630A">
        <w:rPr>
          <w:rFonts w:ascii="Times New Roman" w:eastAsia="Times New Roman" w:hAnsi="Times New Roman" w:cs="Times New Roman"/>
          <w:kern w:val="0"/>
          <w14:ligatures w14:val="none"/>
        </w:rPr>
        <w:t xml:space="preserve"> Historical context, source comparison, strong evidence, weak evidence, and synthesis.</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29"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t>Office of the Historian, U.S. House of Representatives (n.d.)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Best use:</w:t>
      </w:r>
      <w:r w:rsidRPr="0023630A">
        <w:rPr>
          <w:rFonts w:ascii="Times New Roman" w:eastAsia="Times New Roman" w:hAnsi="Times New Roman" w:cs="Times New Roman"/>
          <w:kern w:val="0"/>
          <w14:ligatures w14:val="none"/>
        </w:rPr>
        <w:t xml:space="preserve"> National attention, congressional context, federal legislation, and long-term political significance.</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Strong evidence:</w:t>
      </w:r>
      <w:r w:rsidRPr="0023630A">
        <w:rPr>
          <w:rFonts w:ascii="Times New Roman" w:eastAsia="Times New Roman" w:hAnsi="Times New Roman" w:cs="Times New Roman"/>
          <w:kern w:val="0"/>
          <w14:ligatures w14:val="none"/>
        </w:rPr>
        <w:t xml:space="preserve"> Official historical publication supported by documentary notes.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Limitation:</w:t>
      </w:r>
      <w:r w:rsidRPr="0023630A">
        <w:rPr>
          <w:rFonts w:ascii="Times New Roman" w:eastAsia="Times New Roman" w:hAnsi="Times New Roman" w:cs="Times New Roman"/>
          <w:kern w:val="0"/>
          <w14:ligatures w14:val="none"/>
        </w:rPr>
        <w:t xml:space="preserve"> Institutional emphasis may minimize local organizers and internal movement dynamics.</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Best sections:</w:t>
      </w:r>
      <w:r w:rsidRPr="0023630A">
        <w:rPr>
          <w:rFonts w:ascii="Times New Roman" w:eastAsia="Times New Roman" w:hAnsi="Times New Roman" w:cs="Times New Roman"/>
          <w:kern w:val="0"/>
          <w14:ligatures w14:val="none"/>
        </w:rPr>
        <w:t xml:space="preserve"> Historical impact, source comparison, missing evidence, and synthesis.</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28"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23630A">
        <w:rPr>
          <w:rFonts w:ascii="Times New Roman" w:eastAsia="Times New Roman" w:hAnsi="Times New Roman" w:cs="Times New Roman"/>
          <w:b/>
          <w:bCs/>
          <w:kern w:val="0"/>
          <w:sz w:val="36"/>
          <w:szCs w:val="36"/>
          <w14:ligatures w14:val="none"/>
        </w:rPr>
        <w:lastRenderedPageBreak/>
        <w:t>Alderman, Kingsbury, and Dwyer (2013)</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Best use:</w:t>
      </w:r>
      <w:r w:rsidRPr="0023630A">
        <w:rPr>
          <w:rFonts w:ascii="Times New Roman" w:eastAsia="Times New Roman" w:hAnsi="Times New Roman" w:cs="Times New Roman"/>
          <w:kern w:val="0"/>
          <w14:ligatures w14:val="none"/>
        </w:rPr>
        <w:t xml:space="preserve"> Carpool operations, everyday mobility, women’s contributions, community spaces, sacrifice, and harassment.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Strong evidence:</w:t>
      </w:r>
      <w:r w:rsidRPr="0023630A">
        <w:rPr>
          <w:rFonts w:ascii="Times New Roman" w:eastAsia="Times New Roman" w:hAnsi="Times New Roman" w:cs="Times New Roman"/>
          <w:kern w:val="0"/>
          <w14:ligatures w14:val="none"/>
        </w:rPr>
        <w:t xml:space="preserve"> Peer-reviewed scholarship drawing on primary accounts and historical research.</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Limitation:</w:t>
      </w:r>
      <w:r w:rsidRPr="0023630A">
        <w:rPr>
          <w:rFonts w:ascii="Times New Roman" w:eastAsia="Times New Roman" w:hAnsi="Times New Roman" w:cs="Times New Roman"/>
          <w:kern w:val="0"/>
          <w14:ligatures w14:val="none"/>
        </w:rPr>
        <w:t xml:space="preserve"> Later interpretation by authors who did not participate in the boycott; some numerical evidence is estimated.</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b/>
          <w:bCs/>
          <w:kern w:val="0"/>
          <w14:ligatures w14:val="none"/>
        </w:rPr>
        <w:t>Best sections:</w:t>
      </w:r>
      <w:r w:rsidRPr="0023630A">
        <w:rPr>
          <w:rFonts w:ascii="Times New Roman" w:eastAsia="Times New Roman" w:hAnsi="Times New Roman" w:cs="Times New Roman"/>
          <w:kern w:val="0"/>
          <w14:ligatures w14:val="none"/>
        </w:rPr>
        <w:t xml:space="preserve"> Historical context, strong evidence, source comparison, challenges, and synthesis.</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27"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Evidence Bank</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Women’s Political Council was prepared to respond when Rosa Parks was arrested.</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Notices helped initiate a one-day bus protest.</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Churches became communication, meeting, and organizing sites.</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Residents collectively decided to continue the protest.</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King presented the campaign as lawful, nonviolent, and grounded in citizenship.</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Montgomery Improvement Association coordinated a free carpool.</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Black churches and businesses served as pickup and dispatch locations.</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Black women helped raise money for the transportation system.</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Estimated carpool use exceeded 1,000 daily riders and approximately 200,000 total trips.</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Organizers and participants experienced surveillance, fines, arrests, and harassment.</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National coverage expanded awareness of the campaign.</w:t>
      </w:r>
    </w:p>
    <w:p w:rsidR="0023630A" w:rsidRPr="0023630A" w:rsidRDefault="0023630A" w:rsidP="0023630A">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The boycott became part of a wider movement for federal civil-rights protections.</w:t>
      </w:r>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26"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APA Reference List</w:t>
      </w:r>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 xml:space="preserve">Alderman, D. H., Kingsbury, P., &amp; Dwyer, O. J. (2013). Reexamining the Montgomery Bus Boycott: Toward an empathetic pedagogy of the Civil Rights Movement. </w:t>
      </w:r>
      <w:r w:rsidRPr="0023630A">
        <w:rPr>
          <w:rFonts w:ascii="Times New Roman" w:eastAsia="Times New Roman" w:hAnsi="Times New Roman" w:cs="Times New Roman"/>
          <w:i/>
          <w:iCs/>
          <w:kern w:val="0"/>
          <w14:ligatures w14:val="none"/>
        </w:rPr>
        <w:t>The Professional Geographer, 65</w:t>
      </w:r>
      <w:r w:rsidRPr="0023630A">
        <w:rPr>
          <w:rFonts w:ascii="Times New Roman" w:eastAsia="Times New Roman" w:hAnsi="Times New Roman" w:cs="Times New Roman"/>
          <w:kern w:val="0"/>
          <w14:ligatures w14:val="none"/>
        </w:rPr>
        <w:t xml:space="preserve">(1), 171–186. </w:t>
      </w:r>
      <w:hyperlink r:id="rId5" w:history="1">
        <w:r w:rsidRPr="0023630A">
          <w:rPr>
            <w:rFonts w:ascii="Times New Roman" w:eastAsia="Times New Roman" w:hAnsi="Times New Roman" w:cs="Times New Roman"/>
            <w:color w:val="0000FF"/>
            <w:kern w:val="0"/>
            <w:u w:val="single"/>
            <w14:ligatures w14:val="none"/>
          </w:rPr>
          <w:t>https://doi.org/10.1080/00330124.2012.658728</w:t>
        </w:r>
      </w:hyperlink>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 xml:space="preserve">King, M. L., Jr. (1955, December 5). </w:t>
      </w:r>
      <w:r w:rsidRPr="0023630A">
        <w:rPr>
          <w:rFonts w:ascii="Times New Roman" w:eastAsia="Times New Roman" w:hAnsi="Times New Roman" w:cs="Times New Roman"/>
          <w:i/>
          <w:iCs/>
          <w:kern w:val="0"/>
          <w14:ligatures w14:val="none"/>
        </w:rPr>
        <w:t>MIA mass meeting at Holt Street Baptist Church</w:t>
      </w:r>
      <w:r w:rsidRPr="0023630A">
        <w:rPr>
          <w:rFonts w:ascii="Times New Roman" w:eastAsia="Times New Roman" w:hAnsi="Times New Roman" w:cs="Times New Roman"/>
          <w:kern w:val="0"/>
          <w14:ligatures w14:val="none"/>
        </w:rPr>
        <w:t xml:space="preserve"> [Speech]. The Martin Luther King, Jr. Research and Education Institute, Stanford University. </w:t>
      </w:r>
      <w:hyperlink r:id="rId6" w:history="1">
        <w:r w:rsidRPr="0023630A">
          <w:rPr>
            <w:rFonts w:ascii="Times New Roman" w:eastAsia="Times New Roman" w:hAnsi="Times New Roman" w:cs="Times New Roman"/>
            <w:color w:val="0000FF"/>
            <w:kern w:val="0"/>
            <w:u w:val="single"/>
            <w14:ligatures w14:val="none"/>
          </w:rPr>
          <w:t>https://kinginstitute.stanford.edu/king-papers/documents/mia-mass-meeting-holt-street-baptist-church</w:t>
        </w:r>
      </w:hyperlink>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lastRenderedPageBreak/>
        <w:t xml:space="preserve">Office of the Historian, U.S. House of Representatives. (n.d.). </w:t>
      </w:r>
      <w:r w:rsidRPr="0023630A">
        <w:rPr>
          <w:rFonts w:ascii="Times New Roman" w:eastAsia="Times New Roman" w:hAnsi="Times New Roman" w:cs="Times New Roman"/>
          <w:i/>
          <w:iCs/>
          <w:kern w:val="0"/>
          <w14:ligatures w14:val="none"/>
        </w:rPr>
        <w:t>Rights and representation</w:t>
      </w:r>
      <w:r w:rsidRPr="0023630A">
        <w:rPr>
          <w:rFonts w:ascii="Times New Roman" w:eastAsia="Times New Roman" w:hAnsi="Times New Roman" w:cs="Times New Roman"/>
          <w:kern w:val="0"/>
          <w14:ligatures w14:val="none"/>
        </w:rPr>
        <w:t xml:space="preserve">. </w:t>
      </w:r>
      <w:hyperlink r:id="rId7" w:history="1">
        <w:r w:rsidRPr="0023630A">
          <w:rPr>
            <w:rFonts w:ascii="Times New Roman" w:eastAsia="Times New Roman" w:hAnsi="Times New Roman" w:cs="Times New Roman"/>
            <w:color w:val="0000FF"/>
            <w:kern w:val="0"/>
            <w:u w:val="single"/>
            <w14:ligatures w14:val="none"/>
          </w:rPr>
          <w:t>https://history.house.gov/Exhibitions-and-Publications/BAIC/Historical-Essays/Keeping-the-Faith/Civil-Rights-Movement/</w:t>
        </w:r>
      </w:hyperlink>
    </w:p>
    <w:p w:rsidR="0023630A" w:rsidRPr="0023630A" w:rsidRDefault="0023630A" w:rsidP="0023630A">
      <w:p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 xml:space="preserve">Robinson, J. A. G. (1987). The boycott begins. In D. J. Garrow (Ed.), </w:t>
      </w:r>
      <w:r w:rsidRPr="0023630A">
        <w:rPr>
          <w:rFonts w:ascii="Times New Roman" w:eastAsia="Times New Roman" w:hAnsi="Times New Roman" w:cs="Times New Roman"/>
          <w:i/>
          <w:iCs/>
          <w:kern w:val="0"/>
          <w14:ligatures w14:val="none"/>
        </w:rPr>
        <w:t>The Montgomery bus boycott and the women who started it: The memoir of Jo Ann Gibson Robinson</w:t>
      </w:r>
      <w:r w:rsidRPr="0023630A">
        <w:rPr>
          <w:rFonts w:ascii="Times New Roman" w:eastAsia="Times New Roman" w:hAnsi="Times New Roman" w:cs="Times New Roman"/>
          <w:kern w:val="0"/>
          <w14:ligatures w14:val="none"/>
        </w:rPr>
        <w:t xml:space="preserve"> (pp. 53–76). University of Tennessee Press. </w:t>
      </w:r>
      <w:hyperlink r:id="rId8" w:history="1">
        <w:r w:rsidRPr="0023630A">
          <w:rPr>
            <w:rFonts w:ascii="Times New Roman" w:eastAsia="Times New Roman" w:hAnsi="Times New Roman" w:cs="Times New Roman"/>
            <w:color w:val="0000FF"/>
            <w:kern w:val="0"/>
            <w:u w:val="single"/>
            <w14:ligatures w14:val="none"/>
          </w:rPr>
          <w:t>https://nationalhumanitiescenter.org/pds/maai3/protest/text5/robinsonbusboycott.pdf</w:t>
        </w:r>
      </w:hyperlink>
    </w:p>
    <w:p w:rsidR="0023630A" w:rsidRPr="0023630A" w:rsidRDefault="001E425D" w:rsidP="0023630A">
      <w:pPr>
        <w:spacing w:after="0" w:line="240" w:lineRule="auto"/>
        <w:rPr>
          <w:rFonts w:ascii="Times New Roman" w:eastAsia="Times New Roman" w:hAnsi="Times New Roman" w:cs="Times New Roman"/>
          <w:kern w:val="0"/>
          <w14:ligatures w14:val="none"/>
        </w:rPr>
      </w:pPr>
      <w:r w:rsidRPr="001E425D">
        <w:rPr>
          <w:rFonts w:ascii="Times New Roman" w:eastAsia="Times New Roman" w:hAnsi="Times New Roman" w:cs="Times New Roman"/>
          <w:noProof/>
          <w:kern w:val="0"/>
        </w:rPr>
        <w:pict>
          <v:rect id="_x0000_i1025" alt="" style="width:468pt;height:.05pt;mso-width-percent:0;mso-height-percent:0;mso-width-percent:0;mso-height-percent:0" o:hralign="center" o:hrstd="t" o:hr="t" fillcolor="#a0a0a0" stroked="f"/>
        </w:pict>
      </w:r>
    </w:p>
    <w:p w:rsidR="0023630A" w:rsidRPr="0023630A" w:rsidRDefault="0023630A" w:rsidP="0023630A">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23630A">
        <w:rPr>
          <w:rFonts w:ascii="Times New Roman" w:eastAsia="Times New Roman" w:hAnsi="Times New Roman" w:cs="Times New Roman"/>
          <w:b/>
          <w:bCs/>
          <w:kern w:val="36"/>
          <w:sz w:val="48"/>
          <w:szCs w:val="48"/>
          <w14:ligatures w14:val="none"/>
        </w:rPr>
        <w:t>Final Completion Checklist</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Keep every original worksheet instruction and question.</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Write each response immediately after its question.</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Convert the working frames into complete sentences.</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Personalize the blank sections marked with underscores.</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Use two primary and two secondary sources.</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Include at least one scholarly secondary source.</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Compare the sources instead of summarizing them independently.</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Explain why evidence is strong or weak.</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Identify missing evidence and where it could be located.</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Connect the historical lessons to nonprofit groups without naming a particular organization.</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Include in-text citations whenever evidence is paraphrased.</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Retain the complete APA reference list.</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Use Times New Roman, 12-point font.</w:t>
      </w:r>
    </w:p>
    <w:p w:rsidR="0023630A" w:rsidRPr="0023630A" w:rsidRDefault="0023630A" w:rsidP="0023630A">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23630A">
        <w:rPr>
          <w:rFonts w:ascii="Times New Roman" w:eastAsia="Times New Roman" w:hAnsi="Times New Roman" w:cs="Times New Roman"/>
          <w:kern w:val="0"/>
          <w14:ligatures w14:val="none"/>
        </w:rPr>
        <w:t>Review for concise organization, grammar, usage, and mechanics.</w:t>
      </w:r>
    </w:p>
    <w:p w:rsidR="00733404" w:rsidRDefault="00733404"/>
    <w:sectPr w:rsidR="007334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5A35"/>
    <w:multiLevelType w:val="multilevel"/>
    <w:tmpl w:val="CC185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F6DB6"/>
    <w:multiLevelType w:val="multilevel"/>
    <w:tmpl w:val="56C2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9B1E9E"/>
    <w:multiLevelType w:val="multilevel"/>
    <w:tmpl w:val="8CE81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0D0FFC"/>
    <w:multiLevelType w:val="multilevel"/>
    <w:tmpl w:val="CF86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47E88"/>
    <w:multiLevelType w:val="multilevel"/>
    <w:tmpl w:val="FE92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7E309E"/>
    <w:multiLevelType w:val="multilevel"/>
    <w:tmpl w:val="C568B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E23507"/>
    <w:multiLevelType w:val="multilevel"/>
    <w:tmpl w:val="1E04E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8157FD"/>
    <w:multiLevelType w:val="multilevel"/>
    <w:tmpl w:val="AA1A1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E35C55"/>
    <w:multiLevelType w:val="multilevel"/>
    <w:tmpl w:val="08307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3C1445"/>
    <w:multiLevelType w:val="multilevel"/>
    <w:tmpl w:val="9176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4F338B"/>
    <w:multiLevelType w:val="multilevel"/>
    <w:tmpl w:val="36DA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3A731F"/>
    <w:multiLevelType w:val="multilevel"/>
    <w:tmpl w:val="7F5A0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75022C"/>
    <w:multiLevelType w:val="multilevel"/>
    <w:tmpl w:val="EC28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110950"/>
    <w:multiLevelType w:val="multilevel"/>
    <w:tmpl w:val="C04C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E53288"/>
    <w:multiLevelType w:val="multilevel"/>
    <w:tmpl w:val="8926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2066554">
    <w:abstractNumId w:val="13"/>
  </w:num>
  <w:num w:numId="2" w16cid:durableId="1168328616">
    <w:abstractNumId w:val="5"/>
  </w:num>
  <w:num w:numId="3" w16cid:durableId="192698304">
    <w:abstractNumId w:val="7"/>
  </w:num>
  <w:num w:numId="4" w16cid:durableId="1147094186">
    <w:abstractNumId w:val="3"/>
  </w:num>
  <w:num w:numId="5" w16cid:durableId="1591036354">
    <w:abstractNumId w:val="12"/>
  </w:num>
  <w:num w:numId="6" w16cid:durableId="121072489">
    <w:abstractNumId w:val="9"/>
  </w:num>
  <w:num w:numId="7" w16cid:durableId="1246956329">
    <w:abstractNumId w:val="14"/>
  </w:num>
  <w:num w:numId="8" w16cid:durableId="1620643899">
    <w:abstractNumId w:val="8"/>
  </w:num>
  <w:num w:numId="9" w16cid:durableId="946162415">
    <w:abstractNumId w:val="10"/>
  </w:num>
  <w:num w:numId="10" w16cid:durableId="1077629434">
    <w:abstractNumId w:val="0"/>
  </w:num>
  <w:num w:numId="11" w16cid:durableId="228658964">
    <w:abstractNumId w:val="6"/>
  </w:num>
  <w:num w:numId="12" w16cid:durableId="1025210314">
    <w:abstractNumId w:val="2"/>
  </w:num>
  <w:num w:numId="13" w16cid:durableId="522550404">
    <w:abstractNumId w:val="11"/>
  </w:num>
  <w:num w:numId="14" w16cid:durableId="54163337">
    <w:abstractNumId w:val="4"/>
  </w:num>
  <w:num w:numId="15" w16cid:durableId="13907607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30A"/>
    <w:rsid w:val="000A21F1"/>
    <w:rsid w:val="001B27A8"/>
    <w:rsid w:val="001E4167"/>
    <w:rsid w:val="001E425D"/>
    <w:rsid w:val="0023630A"/>
    <w:rsid w:val="00392A23"/>
    <w:rsid w:val="0040695B"/>
    <w:rsid w:val="00714DD7"/>
    <w:rsid w:val="00733404"/>
    <w:rsid w:val="00790C2E"/>
    <w:rsid w:val="00D35D34"/>
    <w:rsid w:val="00E201D5"/>
    <w:rsid w:val="00E25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35DEE"/>
  <w15:chartTrackingRefBased/>
  <w15:docId w15:val="{69794E39-7FDD-984E-A081-ECF8FE69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3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2363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363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63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63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63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3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3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3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3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2363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2363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63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63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63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3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3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30A"/>
    <w:rPr>
      <w:rFonts w:eastAsiaTheme="majorEastAsia" w:cstheme="majorBidi"/>
      <w:color w:val="272727" w:themeColor="text1" w:themeTint="D8"/>
    </w:rPr>
  </w:style>
  <w:style w:type="paragraph" w:styleId="Title">
    <w:name w:val="Title"/>
    <w:basedOn w:val="Normal"/>
    <w:next w:val="Normal"/>
    <w:link w:val="TitleChar"/>
    <w:uiPriority w:val="10"/>
    <w:qFormat/>
    <w:rsid w:val="00236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3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3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3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30A"/>
    <w:pPr>
      <w:spacing w:before="160"/>
      <w:jc w:val="center"/>
    </w:pPr>
    <w:rPr>
      <w:i/>
      <w:iCs/>
      <w:color w:val="404040" w:themeColor="text1" w:themeTint="BF"/>
    </w:rPr>
  </w:style>
  <w:style w:type="character" w:customStyle="1" w:styleId="QuoteChar">
    <w:name w:val="Quote Char"/>
    <w:basedOn w:val="DefaultParagraphFont"/>
    <w:link w:val="Quote"/>
    <w:uiPriority w:val="29"/>
    <w:rsid w:val="0023630A"/>
    <w:rPr>
      <w:i/>
      <w:iCs/>
      <w:color w:val="404040" w:themeColor="text1" w:themeTint="BF"/>
    </w:rPr>
  </w:style>
  <w:style w:type="paragraph" w:styleId="ListParagraph">
    <w:name w:val="List Paragraph"/>
    <w:basedOn w:val="Normal"/>
    <w:uiPriority w:val="34"/>
    <w:qFormat/>
    <w:rsid w:val="0023630A"/>
    <w:pPr>
      <w:ind w:left="720"/>
      <w:contextualSpacing/>
    </w:pPr>
  </w:style>
  <w:style w:type="character" w:styleId="IntenseEmphasis">
    <w:name w:val="Intense Emphasis"/>
    <w:basedOn w:val="DefaultParagraphFont"/>
    <w:uiPriority w:val="21"/>
    <w:qFormat/>
    <w:rsid w:val="0023630A"/>
    <w:rPr>
      <w:i/>
      <w:iCs/>
      <w:color w:val="2F5496" w:themeColor="accent1" w:themeShade="BF"/>
    </w:rPr>
  </w:style>
  <w:style w:type="paragraph" w:styleId="IntenseQuote">
    <w:name w:val="Intense Quote"/>
    <w:basedOn w:val="Normal"/>
    <w:next w:val="Normal"/>
    <w:link w:val="IntenseQuoteChar"/>
    <w:uiPriority w:val="30"/>
    <w:qFormat/>
    <w:rsid w:val="002363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630A"/>
    <w:rPr>
      <w:i/>
      <w:iCs/>
      <w:color w:val="2F5496" w:themeColor="accent1" w:themeShade="BF"/>
    </w:rPr>
  </w:style>
  <w:style w:type="character" w:styleId="IntenseReference">
    <w:name w:val="Intense Reference"/>
    <w:basedOn w:val="DefaultParagraphFont"/>
    <w:uiPriority w:val="32"/>
    <w:qFormat/>
    <w:rsid w:val="0023630A"/>
    <w:rPr>
      <w:b/>
      <w:bCs/>
      <w:smallCaps/>
      <w:color w:val="2F5496" w:themeColor="accent1" w:themeShade="BF"/>
      <w:spacing w:val="5"/>
    </w:rPr>
  </w:style>
  <w:style w:type="paragraph" w:styleId="NormalWeb">
    <w:name w:val="Normal (Web)"/>
    <w:basedOn w:val="Normal"/>
    <w:uiPriority w:val="99"/>
    <w:semiHidden/>
    <w:unhideWhenUsed/>
    <w:rsid w:val="0023630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3630A"/>
    <w:rPr>
      <w:b/>
      <w:bCs/>
    </w:rPr>
  </w:style>
  <w:style w:type="character" w:styleId="Emphasis">
    <w:name w:val="Emphasis"/>
    <w:basedOn w:val="DefaultParagraphFont"/>
    <w:uiPriority w:val="20"/>
    <w:qFormat/>
    <w:rsid w:val="0023630A"/>
    <w:rPr>
      <w:i/>
      <w:iCs/>
    </w:rPr>
  </w:style>
  <w:style w:type="character" w:styleId="Hyperlink">
    <w:name w:val="Hyperlink"/>
    <w:basedOn w:val="DefaultParagraphFont"/>
    <w:uiPriority w:val="99"/>
    <w:semiHidden/>
    <w:unhideWhenUsed/>
    <w:rsid w:val="002363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tionalhumanitiescenter.org/pds/maai3/protest/text5/robinsonbusboycott.pdf" TargetMode="External"/><Relationship Id="rId3" Type="http://schemas.openxmlformats.org/officeDocument/2006/relationships/settings" Target="settings.xml"/><Relationship Id="rId7" Type="http://schemas.openxmlformats.org/officeDocument/2006/relationships/hyperlink" Target="https://history.house.gov/Exhibitions-and-Publications/BAIC/Historical-Essays/Keeping-the-Faith/Civil-Rights-Mov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inginstitute.stanford.edu/king-papers/documents/mia-mass-meeting-holt-street-baptist-church" TargetMode="External"/><Relationship Id="rId5" Type="http://schemas.openxmlformats.org/officeDocument/2006/relationships/hyperlink" Target="https://doi.org/10.1080/00330124.2012.65872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3686</Words>
  <Characters>21012</Characters>
  <Application>Microsoft Office Word</Application>
  <DocSecurity>0</DocSecurity>
  <Lines>175</Lines>
  <Paragraphs>49</Paragraphs>
  <ScaleCrop>false</ScaleCrop>
  <Company/>
  <LinksUpToDate>false</LinksUpToDate>
  <CharactersWithSpaces>24649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2026-08-17T05:53:00Z</dcterms:created>
  <dcterms:modified xsi:type="dcterms:W3CDTF">2026-08-17T05:55:00Z</dcterms:modified>
</cp:coreProperties>
</file>