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267" w:rsidRPr="00984267" w:rsidRDefault="00984267" w:rsidP="00984267">
      <w:pPr>
        <w:spacing w:after="0" w:line="240" w:lineRule="auto"/>
        <w:rPr>
          <w:rFonts w:ascii="Times New Roman" w:eastAsia="Times New Roman" w:hAnsi="Times New Roman" w:cs="Times New Roman"/>
          <w:b/>
          <w:color w:val="FF0000"/>
          <w:sz w:val="24"/>
          <w:szCs w:val="24"/>
        </w:rPr>
      </w:pPr>
      <w:r w:rsidRPr="00984267">
        <w:rPr>
          <w:rFonts w:ascii="Arial" w:eastAsia="Times New Roman" w:hAnsi="Arial" w:cs="Arial"/>
          <w:b/>
          <w:color w:val="FF0000"/>
          <w:sz w:val="24"/>
          <w:szCs w:val="24"/>
          <w:highlight w:val="yellow"/>
          <w:shd w:val="clear" w:color="auto" w:fill="FFFFFF"/>
        </w:rPr>
        <w:t xml:space="preserve">Reply to </w:t>
      </w:r>
      <w:proofErr w:type="spellStart"/>
      <w:r w:rsidRPr="00984267">
        <w:rPr>
          <w:rFonts w:ascii="Arial" w:eastAsia="Times New Roman" w:hAnsi="Arial" w:cs="Arial"/>
          <w:b/>
          <w:color w:val="FF0000"/>
          <w:sz w:val="24"/>
          <w:szCs w:val="24"/>
          <w:highlight w:val="yellow"/>
          <w:shd w:val="clear" w:color="auto" w:fill="FFFFFF"/>
        </w:rPr>
        <w:t>Saadat</w:t>
      </w:r>
      <w:proofErr w:type="spellEnd"/>
      <w:r w:rsidRPr="00984267">
        <w:rPr>
          <w:rFonts w:ascii="Arial" w:eastAsia="Times New Roman" w:hAnsi="Arial" w:cs="Arial"/>
          <w:b/>
          <w:color w:val="FF0000"/>
          <w:sz w:val="24"/>
          <w:szCs w:val="24"/>
          <w:highlight w:val="yellow"/>
          <w:shd w:val="clear" w:color="auto" w:fill="FFFFFF"/>
        </w:rPr>
        <w:t xml:space="preserve"> </w:t>
      </w:r>
      <w:proofErr w:type="spellStart"/>
      <w:r w:rsidRPr="00984267">
        <w:rPr>
          <w:rFonts w:ascii="Arial" w:eastAsia="Times New Roman" w:hAnsi="Arial" w:cs="Arial"/>
          <w:b/>
          <w:color w:val="FF0000"/>
          <w:sz w:val="24"/>
          <w:szCs w:val="24"/>
          <w:highlight w:val="yellow"/>
          <w:shd w:val="clear" w:color="auto" w:fill="FFFFFF"/>
        </w:rPr>
        <w:t>Wildeman</w:t>
      </w:r>
      <w:proofErr w:type="spellEnd"/>
    </w:p>
    <w:p w:rsidR="00984267" w:rsidRPr="00984267" w:rsidRDefault="00984267" w:rsidP="00984267">
      <w:pPr>
        <w:shd w:val="clear" w:color="auto" w:fill="FFFFFF"/>
        <w:spacing w:after="0" w:line="240" w:lineRule="auto"/>
        <w:rPr>
          <w:rFonts w:ascii="Arial" w:eastAsia="Times New Roman" w:hAnsi="Arial" w:cs="Arial"/>
          <w:color w:val="222222"/>
          <w:sz w:val="24"/>
          <w:szCs w:val="24"/>
        </w:rPr>
      </w:pPr>
    </w:p>
    <w:p w:rsidR="00984267" w:rsidRPr="00984267" w:rsidRDefault="00984267" w:rsidP="00984267">
      <w:pPr>
        <w:shd w:val="clear" w:color="auto" w:fill="FFFFFF"/>
        <w:spacing w:before="180" w:after="180" w:line="240" w:lineRule="auto"/>
        <w:jc w:val="both"/>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Psychotherapy is often viewed as a treatment that can change thoughts, emotions, and behaviors; however, evidence supports the idea that psychotherapy also has a biological basis. Through neuroplasticity, the brain can change in response to learning and repeated experiences. Therapeutic interventions can provide new emotional and cognitive experiences that influence neural pathways involved in emotional regulation, fear responses, cognition, and interpersonal functioning (Palmieri et al., 2022). For example, neuroimaging research has demonstrated changes in brain activity following cognitive behavioral therapy (CBT). According to </w:t>
      </w:r>
      <w:proofErr w:type="spellStart"/>
      <w:r w:rsidRPr="00984267">
        <w:rPr>
          <w:rFonts w:ascii="Helvetica" w:eastAsia="Times New Roman" w:hAnsi="Helvetica" w:cs="Helvetica"/>
          <w:color w:val="273540"/>
          <w:sz w:val="24"/>
          <w:szCs w:val="24"/>
        </w:rPr>
        <w:t>Schrammen</w:t>
      </w:r>
      <w:proofErr w:type="spellEnd"/>
      <w:r w:rsidRPr="00984267">
        <w:rPr>
          <w:rFonts w:ascii="Helvetica" w:eastAsia="Times New Roman" w:hAnsi="Helvetica" w:cs="Helvetica"/>
          <w:color w:val="273540"/>
          <w:sz w:val="24"/>
          <w:szCs w:val="24"/>
        </w:rPr>
        <w:t xml:space="preserve"> et al. (2022), successful psychotherapy for anxiety disorders was associated with functional changes in brain regions involved in cognitive control and fear processing. Therefore, psychotherapy should not be viewed as separate from biological treatment; changes in psychological functioning can occur alongside measurable changes in brain function.</w:t>
      </w:r>
    </w:p>
    <w:p w:rsidR="00984267" w:rsidRPr="00984267" w:rsidRDefault="00984267" w:rsidP="00984267">
      <w:pPr>
        <w:shd w:val="clear" w:color="auto" w:fill="FFFFFF"/>
        <w:spacing w:before="180" w:after="180" w:line="240" w:lineRule="auto"/>
        <w:jc w:val="both"/>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Culture, religion, and socioeconomic status can significantly influence how individuals perceive psychotherapy and whether they consider treatment acceptable or beneficial. Cultural beliefs can shape how a person understands mental illness, expresses emotional distress, seeks help, and interacts with mental health professionals. Some individuals may place greater importance on family or community involvement, while others may prefer an individual approach. Religious beliefs may also affect whether emotional difficulties are understood from psychological, spiritual, or combined perspectives. Rather than assuming that religious beliefs interfere with psychotherapy, PMHNPs should explore the importance of spirituality to each client and incorporate those beliefs when appropriate.</w:t>
      </w:r>
    </w:p>
    <w:p w:rsidR="00984267" w:rsidRPr="00984267" w:rsidRDefault="00984267" w:rsidP="00984267">
      <w:pPr>
        <w:shd w:val="clear" w:color="auto" w:fill="FFFFFF"/>
        <w:spacing w:before="180" w:after="180" w:line="240" w:lineRule="auto"/>
        <w:jc w:val="both"/>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It is important to note that socioeconomic factors create additional challenges because a person’s perception of psychotherapy may be influenced by whether treatment is realistically accessible to them. Financial limitations, insurance coverage, transportation, work schedules, childcare responsibilities, and the availability of mental health providers can affect an individual’s ability to participate in treatment regularly. Research has found that socioeconomic status is associated with disparities in access to psychotherapy, including evidence that individuals with lower socioeconomic status may experience greater barriers to obtaining treatment (Niemeyer &amp; </w:t>
      </w:r>
      <w:proofErr w:type="spellStart"/>
      <w:r w:rsidRPr="00984267">
        <w:rPr>
          <w:rFonts w:ascii="Helvetica" w:eastAsia="Times New Roman" w:hAnsi="Helvetica" w:cs="Helvetica"/>
          <w:color w:val="273540"/>
          <w:sz w:val="24"/>
          <w:szCs w:val="24"/>
        </w:rPr>
        <w:t>Knaevelsrud</w:t>
      </w:r>
      <w:proofErr w:type="spellEnd"/>
      <w:r w:rsidRPr="00984267">
        <w:rPr>
          <w:rFonts w:ascii="Helvetica" w:eastAsia="Times New Roman" w:hAnsi="Helvetica" w:cs="Helvetica"/>
          <w:color w:val="273540"/>
          <w:sz w:val="24"/>
          <w:szCs w:val="24"/>
        </w:rPr>
        <w:t>, 2023).  Another systematic review found that lower social class may be associated with decreased access to mental health services and differences in treatment outcomes (Barnett et al., 2022).  These factors demonstrate why providers should consider the client’s social environment rather than interpreting missed appointments or difficulty engaging in therapy simply as a lack of motivation.</w:t>
      </w:r>
    </w:p>
    <w:p w:rsidR="00984267" w:rsidRPr="00984267" w:rsidRDefault="00984267" w:rsidP="00984267">
      <w:pPr>
        <w:shd w:val="clear" w:color="auto" w:fill="FFFFFF"/>
        <w:spacing w:before="180" w:after="180" w:line="240" w:lineRule="auto"/>
        <w:jc w:val="both"/>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Legal and ethical responsibilities also differ between individual, family, and group psychotherapy. In individual therapy, confidentiality primarily involves communication between the therapist and the patient. However, family and group therapy are more complex because several individuals participate in the therapeutic process. In family therapy, confidentiality can become particularly complicated when family members provide information separately or disagree on what should be disclosed. Group therapy also presents an additional limitation because the therapist cannot completely control </w:t>
      </w:r>
      <w:r w:rsidRPr="00984267">
        <w:rPr>
          <w:rFonts w:ascii="Helvetica" w:eastAsia="Times New Roman" w:hAnsi="Helvetica" w:cs="Helvetica"/>
          <w:color w:val="273540"/>
          <w:sz w:val="24"/>
          <w:szCs w:val="24"/>
        </w:rPr>
        <w:lastRenderedPageBreak/>
        <w:t>what participants disclose outside the group. Therefore, informed consent should clearly address confidentiality expectations and limitations before treatment begins.</w:t>
      </w:r>
    </w:p>
    <w:p w:rsidR="00984267" w:rsidRPr="00984267" w:rsidRDefault="00984267" w:rsidP="00984267">
      <w:pPr>
        <w:shd w:val="clear" w:color="auto" w:fill="FFFFFF"/>
        <w:spacing w:before="180" w:after="180" w:line="240" w:lineRule="auto"/>
        <w:jc w:val="both"/>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These differences influence my therapeutic approach because I would establish confidentiality, boundaries, expectations, and the limits of privacy at the beginning of treatment rather than waiting for a conflict to occur. In individual therapy, my primary focus would be the client’s personal goals and therapeutic relationship. In family therapy, I would consider communication, relationships, family roles, and the needs of multiple participants while remaining attentive to confidentiality and autonomy. In group therapy, I would emphasize group expectations, respect among members, confidentiality, and most importantly psychological safety.</w:t>
      </w:r>
    </w:p>
    <w:p w:rsidR="00984267" w:rsidRPr="00984267" w:rsidRDefault="00984267" w:rsidP="00984267">
      <w:pPr>
        <w:shd w:val="clear" w:color="auto" w:fill="FFFFFF"/>
        <w:spacing w:before="180" w:after="180" w:line="240" w:lineRule="auto"/>
        <w:jc w:val="both"/>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All four of these sources are considered scholarly because they were published in peer-reviewed academic journals in the past five years.</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w:t>
      </w:r>
    </w:p>
    <w:p w:rsidR="00984267" w:rsidRPr="00984267" w:rsidRDefault="00984267" w:rsidP="00984267">
      <w:pPr>
        <w:shd w:val="clear" w:color="auto" w:fill="FFFFFF"/>
        <w:spacing w:before="180" w:after="180" w:line="240" w:lineRule="auto"/>
        <w:jc w:val="center"/>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References</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Barnett, P., </w:t>
      </w:r>
      <w:proofErr w:type="spellStart"/>
      <w:r w:rsidRPr="00984267">
        <w:rPr>
          <w:rFonts w:ascii="Helvetica" w:eastAsia="Times New Roman" w:hAnsi="Helvetica" w:cs="Helvetica"/>
          <w:color w:val="273540"/>
          <w:sz w:val="24"/>
          <w:szCs w:val="24"/>
        </w:rPr>
        <w:t>Oshinowo</w:t>
      </w:r>
      <w:proofErr w:type="spellEnd"/>
      <w:r w:rsidRPr="00984267">
        <w:rPr>
          <w:rFonts w:ascii="Helvetica" w:eastAsia="Times New Roman" w:hAnsi="Helvetica" w:cs="Helvetica"/>
          <w:color w:val="273540"/>
          <w:sz w:val="24"/>
          <w:szCs w:val="24"/>
        </w:rPr>
        <w:t>, I., Cooper, C., Taylor, C., Smith, S., &amp; Pilling, S. (2022). The association between social class and the impact of treatment for mental health problems: A systematic review and narrative synthesis. </w:t>
      </w:r>
      <w:r w:rsidRPr="00984267">
        <w:rPr>
          <w:rFonts w:ascii="Helvetica" w:eastAsia="Times New Roman" w:hAnsi="Helvetica" w:cs="Helvetica"/>
          <w:i/>
          <w:iCs/>
          <w:color w:val="273540"/>
          <w:sz w:val="24"/>
          <w:szCs w:val="24"/>
        </w:rPr>
        <w:t>Social Psychiatry and Psychiatric Epidemiology</w:t>
      </w:r>
      <w:r w:rsidRPr="00984267">
        <w:rPr>
          <w:rFonts w:ascii="Helvetica" w:eastAsia="Times New Roman" w:hAnsi="Helvetica" w:cs="Helvetica"/>
          <w:color w:val="273540"/>
          <w:sz w:val="24"/>
          <w:szCs w:val="24"/>
        </w:rPr>
        <w:t>, </w:t>
      </w:r>
      <w:r w:rsidRPr="00984267">
        <w:rPr>
          <w:rFonts w:ascii="Helvetica" w:eastAsia="Times New Roman" w:hAnsi="Helvetica" w:cs="Helvetica"/>
          <w:i/>
          <w:iCs/>
          <w:color w:val="273540"/>
          <w:sz w:val="24"/>
          <w:szCs w:val="24"/>
        </w:rPr>
        <w:t>58</w:t>
      </w:r>
      <w:r w:rsidRPr="00984267">
        <w:rPr>
          <w:rFonts w:ascii="Helvetica" w:eastAsia="Times New Roman" w:hAnsi="Helvetica" w:cs="Helvetica"/>
          <w:color w:val="273540"/>
          <w:sz w:val="24"/>
          <w:szCs w:val="24"/>
        </w:rPr>
        <w:t>(4), 581–603. </w:t>
      </w:r>
      <w:hyperlink r:id="rId4" w:tgtFrame="_blank" w:history="1">
        <w:r w:rsidRPr="00984267">
          <w:rPr>
            <w:rFonts w:ascii="Helvetica" w:eastAsia="Times New Roman" w:hAnsi="Helvetica" w:cs="Helvetica"/>
            <w:color w:val="00687F"/>
            <w:sz w:val="24"/>
            <w:szCs w:val="24"/>
            <w:u w:val="single"/>
          </w:rPr>
          <w:t>https://doi.org/10.1007/s00127-022-02378-9</w:t>
        </w:r>
      </w:hyperlink>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Niemeyer, H., &amp; </w:t>
      </w:r>
      <w:proofErr w:type="spellStart"/>
      <w:r w:rsidRPr="00984267">
        <w:rPr>
          <w:rFonts w:ascii="Helvetica" w:eastAsia="Times New Roman" w:hAnsi="Helvetica" w:cs="Helvetica"/>
          <w:color w:val="273540"/>
          <w:sz w:val="24"/>
          <w:szCs w:val="24"/>
        </w:rPr>
        <w:t>Knaevelsrud</w:t>
      </w:r>
      <w:proofErr w:type="spellEnd"/>
      <w:r w:rsidRPr="00984267">
        <w:rPr>
          <w:rFonts w:ascii="Helvetica" w:eastAsia="Times New Roman" w:hAnsi="Helvetica" w:cs="Helvetica"/>
          <w:color w:val="273540"/>
          <w:sz w:val="24"/>
          <w:szCs w:val="24"/>
        </w:rPr>
        <w:t>, C. (2023). Socioeconomic status and access to psychotherapy. </w:t>
      </w:r>
      <w:r w:rsidRPr="00984267">
        <w:rPr>
          <w:rFonts w:ascii="Helvetica" w:eastAsia="Times New Roman" w:hAnsi="Helvetica" w:cs="Helvetica"/>
          <w:i/>
          <w:iCs/>
          <w:color w:val="273540"/>
          <w:sz w:val="24"/>
          <w:szCs w:val="24"/>
        </w:rPr>
        <w:t>Journal of Clinical Psychology</w:t>
      </w:r>
      <w:r w:rsidRPr="00984267">
        <w:rPr>
          <w:rFonts w:ascii="Helvetica" w:eastAsia="Times New Roman" w:hAnsi="Helvetica" w:cs="Helvetica"/>
          <w:color w:val="273540"/>
          <w:sz w:val="24"/>
          <w:szCs w:val="24"/>
        </w:rPr>
        <w:t>, </w:t>
      </w:r>
      <w:r w:rsidRPr="00984267">
        <w:rPr>
          <w:rFonts w:ascii="Helvetica" w:eastAsia="Times New Roman" w:hAnsi="Helvetica" w:cs="Helvetica"/>
          <w:i/>
          <w:iCs/>
          <w:color w:val="273540"/>
          <w:sz w:val="24"/>
          <w:szCs w:val="24"/>
        </w:rPr>
        <w:t>79</w:t>
      </w:r>
      <w:r w:rsidRPr="00984267">
        <w:rPr>
          <w:rFonts w:ascii="Helvetica" w:eastAsia="Times New Roman" w:hAnsi="Helvetica" w:cs="Helvetica"/>
          <w:color w:val="273540"/>
          <w:sz w:val="24"/>
          <w:szCs w:val="24"/>
        </w:rPr>
        <w:t>(4), 937–953. </w:t>
      </w:r>
      <w:hyperlink r:id="rId5" w:tgtFrame="_blank" w:history="1">
        <w:r w:rsidRPr="00984267">
          <w:rPr>
            <w:rFonts w:ascii="Helvetica" w:eastAsia="Times New Roman" w:hAnsi="Helvetica" w:cs="Helvetica"/>
            <w:color w:val="00687F"/>
            <w:sz w:val="24"/>
            <w:szCs w:val="24"/>
            <w:u w:val="single"/>
          </w:rPr>
          <w:t>https://doi.org/10.1002/jclp.23449</w:t>
        </w:r>
      </w:hyperlink>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Palmieri, A., Fernandez, K. C., </w:t>
      </w:r>
      <w:proofErr w:type="spellStart"/>
      <w:r w:rsidRPr="00984267">
        <w:rPr>
          <w:rFonts w:ascii="Helvetica" w:eastAsia="Times New Roman" w:hAnsi="Helvetica" w:cs="Helvetica"/>
          <w:color w:val="273540"/>
          <w:sz w:val="24"/>
          <w:szCs w:val="24"/>
        </w:rPr>
        <w:t>Cariolato</w:t>
      </w:r>
      <w:proofErr w:type="spellEnd"/>
      <w:r w:rsidRPr="00984267">
        <w:rPr>
          <w:rFonts w:ascii="Helvetica" w:eastAsia="Times New Roman" w:hAnsi="Helvetica" w:cs="Helvetica"/>
          <w:color w:val="273540"/>
          <w:sz w:val="24"/>
          <w:szCs w:val="24"/>
        </w:rPr>
        <w:t xml:space="preserve">, Y., </w:t>
      </w:r>
      <w:proofErr w:type="spellStart"/>
      <w:r w:rsidRPr="00984267">
        <w:rPr>
          <w:rFonts w:ascii="Helvetica" w:eastAsia="Times New Roman" w:hAnsi="Helvetica" w:cs="Helvetica"/>
          <w:color w:val="273540"/>
          <w:sz w:val="24"/>
          <w:szCs w:val="24"/>
        </w:rPr>
        <w:t>Kleinbub</w:t>
      </w:r>
      <w:proofErr w:type="spellEnd"/>
      <w:r w:rsidRPr="00984267">
        <w:rPr>
          <w:rFonts w:ascii="Helvetica" w:eastAsia="Times New Roman" w:hAnsi="Helvetica" w:cs="Helvetica"/>
          <w:color w:val="273540"/>
          <w:sz w:val="24"/>
          <w:szCs w:val="24"/>
        </w:rPr>
        <w:t>, J. R., Salvatore, S., &amp; Gross, J. J. (2022). Emotion regulation in psychodynamic and cognitive-</w:t>
      </w:r>
      <w:proofErr w:type="spellStart"/>
      <w:r w:rsidRPr="00984267">
        <w:rPr>
          <w:rFonts w:ascii="Helvetica" w:eastAsia="Times New Roman" w:hAnsi="Helvetica" w:cs="Helvetica"/>
          <w:color w:val="273540"/>
          <w:sz w:val="24"/>
          <w:szCs w:val="24"/>
        </w:rPr>
        <w:t>behavioural</w:t>
      </w:r>
      <w:proofErr w:type="spellEnd"/>
      <w:r w:rsidRPr="00984267">
        <w:rPr>
          <w:rFonts w:ascii="Helvetica" w:eastAsia="Times New Roman" w:hAnsi="Helvetica" w:cs="Helvetica"/>
          <w:color w:val="273540"/>
          <w:sz w:val="24"/>
          <w:szCs w:val="24"/>
        </w:rPr>
        <w:t xml:space="preserve"> therapy: An integrative perspective. </w:t>
      </w:r>
      <w:r w:rsidRPr="00984267">
        <w:rPr>
          <w:rFonts w:ascii="Helvetica" w:eastAsia="Times New Roman" w:hAnsi="Helvetica" w:cs="Helvetica"/>
          <w:i/>
          <w:iCs/>
          <w:color w:val="273540"/>
          <w:sz w:val="24"/>
          <w:szCs w:val="24"/>
        </w:rPr>
        <w:t>Clinical Neuropsychiatry</w:t>
      </w:r>
      <w:r w:rsidRPr="00984267">
        <w:rPr>
          <w:rFonts w:ascii="Helvetica" w:eastAsia="Times New Roman" w:hAnsi="Helvetica" w:cs="Helvetica"/>
          <w:color w:val="273540"/>
          <w:sz w:val="24"/>
          <w:szCs w:val="24"/>
        </w:rPr>
        <w:t>, </w:t>
      </w:r>
      <w:r w:rsidRPr="00984267">
        <w:rPr>
          <w:rFonts w:ascii="Helvetica" w:eastAsia="Times New Roman" w:hAnsi="Helvetica" w:cs="Helvetica"/>
          <w:i/>
          <w:iCs/>
          <w:color w:val="273540"/>
          <w:sz w:val="24"/>
          <w:szCs w:val="24"/>
        </w:rPr>
        <w:t>19</w:t>
      </w:r>
      <w:r w:rsidRPr="00984267">
        <w:rPr>
          <w:rFonts w:ascii="Helvetica" w:eastAsia="Times New Roman" w:hAnsi="Helvetica" w:cs="Helvetica"/>
          <w:color w:val="273540"/>
          <w:sz w:val="24"/>
          <w:szCs w:val="24"/>
        </w:rPr>
        <w:t>(2), 103–113. </w:t>
      </w:r>
      <w:hyperlink r:id="rId6" w:tgtFrame="_blank" w:history="1">
        <w:r w:rsidRPr="00984267">
          <w:rPr>
            <w:rFonts w:ascii="Helvetica" w:eastAsia="Times New Roman" w:hAnsi="Helvetica" w:cs="Helvetica"/>
            <w:color w:val="00687F"/>
            <w:sz w:val="24"/>
            <w:szCs w:val="24"/>
            <w:u w:val="single"/>
          </w:rPr>
          <w:t>https://doi.org/10.36131/cnfioritieditore20220204</w:t>
        </w:r>
      </w:hyperlink>
    </w:p>
    <w:p w:rsidR="00984267" w:rsidRDefault="00984267" w:rsidP="00984267">
      <w:pPr>
        <w:shd w:val="clear" w:color="auto" w:fill="FFFFFF"/>
        <w:spacing w:before="180" w:after="180" w:line="240" w:lineRule="auto"/>
        <w:rPr>
          <w:rFonts w:ascii="Helvetica" w:eastAsia="Times New Roman" w:hAnsi="Helvetica" w:cs="Helvetica"/>
          <w:color w:val="273540"/>
          <w:sz w:val="24"/>
          <w:szCs w:val="24"/>
        </w:rPr>
      </w:pPr>
      <w:proofErr w:type="spellStart"/>
      <w:r w:rsidRPr="00984267">
        <w:rPr>
          <w:rFonts w:ascii="Helvetica" w:eastAsia="Times New Roman" w:hAnsi="Helvetica" w:cs="Helvetica"/>
          <w:color w:val="273540"/>
          <w:sz w:val="24"/>
          <w:szCs w:val="24"/>
        </w:rPr>
        <w:t>Schrammen</w:t>
      </w:r>
      <w:proofErr w:type="spellEnd"/>
      <w:r w:rsidRPr="00984267">
        <w:rPr>
          <w:rFonts w:ascii="Helvetica" w:eastAsia="Times New Roman" w:hAnsi="Helvetica" w:cs="Helvetica"/>
          <w:color w:val="273540"/>
          <w:sz w:val="24"/>
          <w:szCs w:val="24"/>
        </w:rPr>
        <w:t xml:space="preserve">, E., </w:t>
      </w:r>
      <w:proofErr w:type="spellStart"/>
      <w:r w:rsidRPr="00984267">
        <w:rPr>
          <w:rFonts w:ascii="Helvetica" w:eastAsia="Times New Roman" w:hAnsi="Helvetica" w:cs="Helvetica"/>
          <w:color w:val="273540"/>
          <w:sz w:val="24"/>
          <w:szCs w:val="24"/>
        </w:rPr>
        <w:t>Roesmann</w:t>
      </w:r>
      <w:proofErr w:type="spellEnd"/>
      <w:r w:rsidRPr="00984267">
        <w:rPr>
          <w:rFonts w:ascii="Helvetica" w:eastAsia="Times New Roman" w:hAnsi="Helvetica" w:cs="Helvetica"/>
          <w:color w:val="273540"/>
          <w:sz w:val="24"/>
          <w:szCs w:val="24"/>
        </w:rPr>
        <w:t xml:space="preserve">, K., Rosenbaum, D., Redlich, R., </w:t>
      </w:r>
      <w:proofErr w:type="spellStart"/>
      <w:r w:rsidRPr="00984267">
        <w:rPr>
          <w:rFonts w:ascii="Helvetica" w:eastAsia="Times New Roman" w:hAnsi="Helvetica" w:cs="Helvetica"/>
          <w:color w:val="273540"/>
          <w:sz w:val="24"/>
          <w:szCs w:val="24"/>
        </w:rPr>
        <w:t>Harenbrock</w:t>
      </w:r>
      <w:proofErr w:type="spellEnd"/>
      <w:r w:rsidRPr="00984267">
        <w:rPr>
          <w:rFonts w:ascii="Helvetica" w:eastAsia="Times New Roman" w:hAnsi="Helvetica" w:cs="Helvetica"/>
          <w:color w:val="273540"/>
          <w:sz w:val="24"/>
          <w:szCs w:val="24"/>
        </w:rPr>
        <w:t xml:space="preserve">, J., </w:t>
      </w:r>
      <w:proofErr w:type="spellStart"/>
      <w:r w:rsidRPr="00984267">
        <w:rPr>
          <w:rFonts w:ascii="Helvetica" w:eastAsia="Times New Roman" w:hAnsi="Helvetica" w:cs="Helvetica"/>
          <w:color w:val="273540"/>
          <w:sz w:val="24"/>
          <w:szCs w:val="24"/>
        </w:rPr>
        <w:t>Dannlowski</w:t>
      </w:r>
      <w:proofErr w:type="spellEnd"/>
      <w:r w:rsidRPr="00984267">
        <w:rPr>
          <w:rFonts w:ascii="Helvetica" w:eastAsia="Times New Roman" w:hAnsi="Helvetica" w:cs="Helvetica"/>
          <w:color w:val="273540"/>
          <w:sz w:val="24"/>
          <w:szCs w:val="24"/>
        </w:rPr>
        <w:t xml:space="preserve">, U., &amp; </w:t>
      </w:r>
      <w:proofErr w:type="spellStart"/>
      <w:r w:rsidRPr="00984267">
        <w:rPr>
          <w:rFonts w:ascii="Helvetica" w:eastAsia="Times New Roman" w:hAnsi="Helvetica" w:cs="Helvetica"/>
          <w:color w:val="273540"/>
          <w:sz w:val="24"/>
          <w:szCs w:val="24"/>
        </w:rPr>
        <w:t>Leehr</w:t>
      </w:r>
      <w:proofErr w:type="spellEnd"/>
      <w:r w:rsidRPr="00984267">
        <w:rPr>
          <w:rFonts w:ascii="Helvetica" w:eastAsia="Times New Roman" w:hAnsi="Helvetica" w:cs="Helvetica"/>
          <w:color w:val="273540"/>
          <w:sz w:val="24"/>
          <w:szCs w:val="24"/>
        </w:rPr>
        <w:t>, E. J. (2022). Functional neural changes associated with psychotherapy in anxiety disorders – a meta-analysis of longitudinal fMRI studies. </w:t>
      </w:r>
      <w:r w:rsidRPr="00984267">
        <w:rPr>
          <w:rFonts w:ascii="Helvetica" w:eastAsia="Times New Roman" w:hAnsi="Helvetica" w:cs="Helvetica"/>
          <w:i/>
          <w:iCs/>
          <w:color w:val="273540"/>
          <w:sz w:val="24"/>
          <w:szCs w:val="24"/>
        </w:rPr>
        <w:t xml:space="preserve">Neuroscience &amp; </w:t>
      </w:r>
      <w:proofErr w:type="spellStart"/>
      <w:r w:rsidRPr="00984267">
        <w:rPr>
          <w:rFonts w:ascii="Helvetica" w:eastAsia="Times New Roman" w:hAnsi="Helvetica" w:cs="Helvetica"/>
          <w:i/>
          <w:iCs/>
          <w:color w:val="273540"/>
          <w:sz w:val="24"/>
          <w:szCs w:val="24"/>
        </w:rPr>
        <w:t>Biobehavioral</w:t>
      </w:r>
      <w:proofErr w:type="spellEnd"/>
      <w:r w:rsidRPr="00984267">
        <w:rPr>
          <w:rFonts w:ascii="Helvetica" w:eastAsia="Times New Roman" w:hAnsi="Helvetica" w:cs="Helvetica"/>
          <w:i/>
          <w:iCs/>
          <w:color w:val="273540"/>
          <w:sz w:val="24"/>
          <w:szCs w:val="24"/>
        </w:rPr>
        <w:t xml:space="preserve"> Reviews</w:t>
      </w:r>
      <w:r w:rsidRPr="00984267">
        <w:rPr>
          <w:rFonts w:ascii="Helvetica" w:eastAsia="Times New Roman" w:hAnsi="Helvetica" w:cs="Helvetica"/>
          <w:color w:val="273540"/>
          <w:sz w:val="24"/>
          <w:szCs w:val="24"/>
        </w:rPr>
        <w:t>, </w:t>
      </w:r>
      <w:r w:rsidRPr="00984267">
        <w:rPr>
          <w:rFonts w:ascii="Helvetica" w:eastAsia="Times New Roman" w:hAnsi="Helvetica" w:cs="Helvetica"/>
          <w:i/>
          <w:iCs/>
          <w:color w:val="273540"/>
          <w:sz w:val="24"/>
          <w:szCs w:val="24"/>
        </w:rPr>
        <w:t>142</w:t>
      </w:r>
      <w:r w:rsidRPr="00984267">
        <w:rPr>
          <w:rFonts w:ascii="Helvetica" w:eastAsia="Times New Roman" w:hAnsi="Helvetica" w:cs="Helvetica"/>
          <w:color w:val="273540"/>
          <w:sz w:val="24"/>
          <w:szCs w:val="24"/>
        </w:rPr>
        <w:t>, Article 104895. </w:t>
      </w:r>
      <w:hyperlink r:id="rId7" w:tgtFrame="_blank" w:history="1">
        <w:r w:rsidRPr="00984267">
          <w:rPr>
            <w:rFonts w:ascii="Helvetica" w:eastAsia="Times New Roman" w:hAnsi="Helvetica" w:cs="Helvetica"/>
            <w:color w:val="00687F"/>
            <w:sz w:val="24"/>
            <w:szCs w:val="24"/>
            <w:u w:val="single"/>
          </w:rPr>
          <w:t>https://doi.org/10.1016/j.neubiorev.2022.104895</w:t>
        </w:r>
      </w:hyperlink>
    </w:p>
    <w:p w:rsidR="00984267" w:rsidRDefault="00984267" w:rsidP="00984267">
      <w:pPr>
        <w:shd w:val="clear" w:color="auto" w:fill="FFFFFF"/>
        <w:spacing w:before="180" w:after="180" w:line="240" w:lineRule="auto"/>
        <w:rPr>
          <w:rFonts w:ascii="Helvetica" w:eastAsia="Times New Roman" w:hAnsi="Helvetica" w:cs="Helvetica"/>
          <w:color w:val="273540"/>
          <w:sz w:val="24"/>
          <w:szCs w:val="24"/>
        </w:rPr>
      </w:pPr>
    </w:p>
    <w:p w:rsidR="00984267" w:rsidRPr="00984267" w:rsidRDefault="00984267" w:rsidP="00984267">
      <w:pPr>
        <w:shd w:val="clear" w:color="auto" w:fill="FFFFFF"/>
        <w:spacing w:after="0" w:line="240" w:lineRule="auto"/>
        <w:rPr>
          <w:rFonts w:ascii="Arial" w:eastAsia="Times New Roman" w:hAnsi="Arial" w:cs="Arial"/>
          <w:b/>
          <w:color w:val="FF0000"/>
          <w:sz w:val="24"/>
          <w:szCs w:val="24"/>
        </w:rPr>
      </w:pPr>
      <w:r w:rsidRPr="00984267">
        <w:rPr>
          <w:rFonts w:ascii="Arial" w:eastAsia="Times New Roman" w:hAnsi="Arial" w:cs="Arial"/>
          <w:b/>
          <w:color w:val="FF0000"/>
          <w:sz w:val="24"/>
          <w:szCs w:val="24"/>
          <w:highlight w:val="yellow"/>
        </w:rPr>
        <w:t xml:space="preserve">REPLY TO Dena </w:t>
      </w:r>
      <w:proofErr w:type="spellStart"/>
      <w:r w:rsidRPr="00984267">
        <w:rPr>
          <w:rFonts w:ascii="Arial" w:eastAsia="Times New Roman" w:hAnsi="Arial" w:cs="Arial"/>
          <w:b/>
          <w:color w:val="FF0000"/>
          <w:sz w:val="24"/>
          <w:szCs w:val="24"/>
          <w:highlight w:val="yellow"/>
        </w:rPr>
        <w:t>Berk</w:t>
      </w:r>
      <w:bookmarkStart w:id="0" w:name="_GoBack"/>
      <w:bookmarkEnd w:id="0"/>
      <w:proofErr w:type="spellEnd"/>
    </w:p>
    <w:p w:rsidR="00984267" w:rsidRPr="00984267" w:rsidRDefault="00984267" w:rsidP="00984267">
      <w:pPr>
        <w:shd w:val="clear" w:color="auto" w:fill="FFFFFF"/>
        <w:spacing w:after="0" w:line="240" w:lineRule="auto"/>
        <w:rPr>
          <w:rFonts w:ascii="Arial" w:eastAsia="Times New Roman" w:hAnsi="Arial" w:cs="Arial"/>
          <w:color w:val="222222"/>
          <w:sz w:val="24"/>
          <w:szCs w:val="24"/>
        </w:rPr>
      </w:pP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Psychotherapy offers a therapeutic space for individuals navigating mental health symptoms, personal challenges, and difficulties that may arise within families and other relationships. It goes beyond simply talking through problems, however. Psychotherapy can create meaningful changes in the way individuals think, feel, behave, and even how their brains function. At the same time, no two people enter therapy with the same story. </w:t>
      </w:r>
      <w:r w:rsidRPr="00984267">
        <w:rPr>
          <w:rFonts w:ascii="Helvetica" w:eastAsia="Times New Roman" w:hAnsi="Helvetica" w:cs="Helvetica"/>
          <w:color w:val="273540"/>
          <w:sz w:val="24"/>
          <w:szCs w:val="24"/>
        </w:rPr>
        <w:lastRenderedPageBreak/>
        <w:t>Culture, personal beliefs, life experiences, available resources, and the type of therapeutic setting can all shape how psychotherapy is experienced and valued.</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b/>
          <w:bCs/>
          <w:color w:val="273540"/>
          <w:sz w:val="24"/>
          <w:szCs w:val="24"/>
        </w:rPr>
        <w:t>The Biological Basis of Psychotherapy</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In addition to its psychological effects, psychotherapy has a biological basis. Therapeutic experiences can influence brain functioning through neuroplasticity, allowing neural networks to reorganize in response to learning and experience. </w:t>
      </w:r>
      <w:proofErr w:type="spellStart"/>
      <w:r w:rsidRPr="00984267">
        <w:rPr>
          <w:rFonts w:ascii="Helvetica" w:eastAsia="Times New Roman" w:hAnsi="Helvetica" w:cs="Helvetica"/>
          <w:color w:val="273540"/>
          <w:sz w:val="24"/>
          <w:szCs w:val="24"/>
        </w:rPr>
        <w:t>Cammisuli</w:t>
      </w:r>
      <w:proofErr w:type="spellEnd"/>
      <w:r w:rsidRPr="00984267">
        <w:rPr>
          <w:rFonts w:ascii="Helvetica" w:eastAsia="Times New Roman" w:hAnsi="Helvetica" w:cs="Helvetica"/>
          <w:color w:val="273540"/>
          <w:sz w:val="24"/>
          <w:szCs w:val="24"/>
        </w:rPr>
        <w:t xml:space="preserve"> and </w:t>
      </w:r>
      <w:proofErr w:type="spellStart"/>
      <w:r w:rsidRPr="00984267">
        <w:rPr>
          <w:rFonts w:ascii="Helvetica" w:eastAsia="Times New Roman" w:hAnsi="Helvetica" w:cs="Helvetica"/>
          <w:color w:val="273540"/>
          <w:sz w:val="24"/>
          <w:szCs w:val="24"/>
        </w:rPr>
        <w:t>Castelnuovo</w:t>
      </w:r>
      <w:proofErr w:type="spellEnd"/>
      <w:r w:rsidRPr="00984267">
        <w:rPr>
          <w:rFonts w:ascii="Helvetica" w:eastAsia="Times New Roman" w:hAnsi="Helvetica" w:cs="Helvetica"/>
          <w:color w:val="273540"/>
          <w:sz w:val="24"/>
          <w:szCs w:val="24"/>
        </w:rPr>
        <w:t xml:space="preserve"> (2023) describe psychotherapy from a neuroscience perspective, emphasizing its influence on neural processes involved in cognition, emotion, learning, and behavior. This supports the idea that psychotherapy's benefits extend beyond how a person feels and can involve underlying neurobiological changes. </w:t>
      </w:r>
      <w:proofErr w:type="spellStart"/>
      <w:r w:rsidRPr="00984267">
        <w:rPr>
          <w:rFonts w:ascii="Helvetica" w:eastAsia="Times New Roman" w:hAnsi="Helvetica" w:cs="Helvetica"/>
          <w:color w:val="273540"/>
          <w:sz w:val="24"/>
          <w:szCs w:val="24"/>
        </w:rPr>
        <w:t>Perricone</w:t>
      </w:r>
      <w:proofErr w:type="spellEnd"/>
      <w:r w:rsidRPr="00984267">
        <w:rPr>
          <w:rFonts w:ascii="Helvetica" w:eastAsia="Times New Roman" w:hAnsi="Helvetica" w:cs="Helvetica"/>
          <w:color w:val="273540"/>
          <w:sz w:val="24"/>
          <w:szCs w:val="24"/>
        </w:rPr>
        <w:t xml:space="preserve"> et al. (2024) also found that educating individuals about how psychotherapy produces brain-level changes increased their perceptions of its effectiveness. This mind-brain connection not only helps explain the biological basis of psychotherapy but may also help clients better understand why psychotherapy can be an effective treatment.</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b/>
          <w:bCs/>
          <w:color w:val="273540"/>
          <w:sz w:val="24"/>
          <w:szCs w:val="24"/>
        </w:rPr>
        <w:t>Cultural, Religious, and Socioeconomic Influences on Psychotherapy</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Culture, religion, and socioeconomic circumstances are also important because each person brings different lived experiences, beliefs, and values into therapy. An individual’s cultural background can shape their understanding of mental illness, how they express distress, and their willingness to seek treatment. Cultural influences may also affect how symptoms are experienced and expressed (</w:t>
      </w:r>
      <w:proofErr w:type="spellStart"/>
      <w:r w:rsidRPr="00984267">
        <w:rPr>
          <w:rFonts w:ascii="Helvetica" w:eastAsia="Times New Roman" w:hAnsi="Helvetica" w:cs="Helvetica"/>
          <w:color w:val="273540"/>
          <w:sz w:val="24"/>
          <w:szCs w:val="24"/>
        </w:rPr>
        <w:t>Bhugra</w:t>
      </w:r>
      <w:proofErr w:type="spellEnd"/>
      <w:r w:rsidRPr="00984267">
        <w:rPr>
          <w:rFonts w:ascii="Helvetica" w:eastAsia="Times New Roman" w:hAnsi="Helvetica" w:cs="Helvetica"/>
          <w:color w:val="273540"/>
          <w:sz w:val="24"/>
          <w:szCs w:val="24"/>
        </w:rPr>
        <w:t xml:space="preserve"> et al., 2021). Through my work in mental health and substance use treatment, I have encountered individuals who were hesitant to participate in psychotherapy because of deeply rooted beliefs that therapy was “not something our family does or believes in.” Experiences such as these have shown me why it is important to understand where a client is coming from rather than assume everyone views mental health and treatment in the same way.</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Religion and spirituality can have a similar influence on how individuals understand their symptoms, cope with distress, and approach psychotherapy. Hansen et al. (2025) found that clients experiencing religious and spiritual struggles, including confusion surrounding personal beliefs and values, improved during psychotherapy but experienced slower rates of symptom improvement. Recognizing these concerns helps therapists understand what matters to the client and, when appropriate, incorporate those values into treatment in ways that support trust and engagement.</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Socioeconomic circumstances add another layer to the psychotherapy experience. </w:t>
      </w:r>
      <w:proofErr w:type="spellStart"/>
      <w:r w:rsidRPr="00984267">
        <w:rPr>
          <w:rFonts w:ascii="Helvetica" w:eastAsia="Times New Roman" w:hAnsi="Helvetica" w:cs="Helvetica"/>
          <w:color w:val="273540"/>
          <w:sz w:val="24"/>
          <w:szCs w:val="24"/>
        </w:rPr>
        <w:t>Leppänen</w:t>
      </w:r>
      <w:proofErr w:type="spellEnd"/>
      <w:r w:rsidRPr="00984267">
        <w:rPr>
          <w:rFonts w:ascii="Helvetica" w:eastAsia="Times New Roman" w:hAnsi="Helvetica" w:cs="Helvetica"/>
          <w:color w:val="273540"/>
          <w:sz w:val="24"/>
          <w:szCs w:val="24"/>
        </w:rPr>
        <w:t xml:space="preserve"> et al. (2024) identified socioeconomic differences in psychotherapy duration and return-to-work outcomes among individuals receiving psychotherapy for common mental disorders. Beyond these findings, limited financial resources and other practical barriers can make consistent attendance difficult. I have seen this in my own work with clients who understand the importance of treatment but face circumstances that make continued participation challenging. Recognizing these barriers helps providers develop treatment plans that are not only clinically appropriate but also realistic for the person receiving care.</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b/>
          <w:bCs/>
          <w:color w:val="273540"/>
          <w:sz w:val="24"/>
          <w:szCs w:val="24"/>
        </w:rPr>
        <w:lastRenderedPageBreak/>
        <w:t xml:space="preserve">Legal and Ethical Considerations </w:t>
      </w:r>
      <w:proofErr w:type="gramStart"/>
      <w:r w:rsidRPr="00984267">
        <w:rPr>
          <w:rFonts w:ascii="Helvetica" w:eastAsia="Times New Roman" w:hAnsi="Helvetica" w:cs="Helvetica"/>
          <w:b/>
          <w:bCs/>
          <w:color w:val="273540"/>
          <w:sz w:val="24"/>
          <w:szCs w:val="24"/>
        </w:rPr>
        <w:t>Across</w:t>
      </w:r>
      <w:proofErr w:type="gramEnd"/>
      <w:r w:rsidRPr="00984267">
        <w:rPr>
          <w:rFonts w:ascii="Helvetica" w:eastAsia="Times New Roman" w:hAnsi="Helvetica" w:cs="Helvetica"/>
          <w:b/>
          <w:bCs/>
          <w:color w:val="273540"/>
          <w:sz w:val="24"/>
          <w:szCs w:val="24"/>
        </w:rPr>
        <w:t xml:space="preserve"> Therapeutic Settings</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Legal and ethical responsibilities also change depending on whether psychotherapy occurs individually, in a group, or with a family. Informed consent, confidentiality, professional competence, appropriate boundaries, and protection of client privacy are fundamental ethical considerations in psychotherapy (</w:t>
      </w:r>
      <w:proofErr w:type="spellStart"/>
      <w:r w:rsidRPr="00984267">
        <w:rPr>
          <w:rFonts w:ascii="Helvetica" w:eastAsia="Times New Roman" w:hAnsi="Helvetica" w:cs="Helvetica"/>
          <w:color w:val="273540"/>
          <w:sz w:val="24"/>
          <w:szCs w:val="24"/>
        </w:rPr>
        <w:t>Avasthi</w:t>
      </w:r>
      <w:proofErr w:type="spellEnd"/>
      <w:r w:rsidRPr="00984267">
        <w:rPr>
          <w:rFonts w:ascii="Helvetica" w:eastAsia="Times New Roman" w:hAnsi="Helvetica" w:cs="Helvetica"/>
          <w:color w:val="273540"/>
          <w:sz w:val="24"/>
          <w:szCs w:val="24"/>
        </w:rPr>
        <w:t xml:space="preserve"> et al., 2022). In individual therapy, confidentiality primarily involves the therapist and one client, but clients also need to understand that circumstances may legally or ethically limit confidentiality, such as mandatory reporting requirements. Discussing these limitations from the beginning allows clients to make informed decisions about their care (</w:t>
      </w:r>
      <w:proofErr w:type="spellStart"/>
      <w:r w:rsidRPr="00984267">
        <w:rPr>
          <w:rFonts w:ascii="Helvetica" w:eastAsia="Times New Roman" w:hAnsi="Helvetica" w:cs="Helvetica"/>
          <w:color w:val="273540"/>
          <w:sz w:val="24"/>
          <w:szCs w:val="24"/>
        </w:rPr>
        <w:t>Avasthi</w:t>
      </w:r>
      <w:proofErr w:type="spellEnd"/>
      <w:r w:rsidRPr="00984267">
        <w:rPr>
          <w:rFonts w:ascii="Helvetica" w:eastAsia="Times New Roman" w:hAnsi="Helvetica" w:cs="Helvetica"/>
          <w:color w:val="273540"/>
          <w:sz w:val="24"/>
          <w:szCs w:val="24"/>
        </w:rPr>
        <w:t xml:space="preserve"> et al., 2022).</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Group therapy presents different challenges because several people share the therapeutic space. Therapists must maintain confidentiality and appropriate boundaries while staying attentive to the safety and well-being of the entire group (</w:t>
      </w:r>
      <w:proofErr w:type="spellStart"/>
      <w:r w:rsidRPr="00984267">
        <w:rPr>
          <w:rFonts w:ascii="Helvetica" w:eastAsia="Times New Roman" w:hAnsi="Helvetica" w:cs="Helvetica"/>
          <w:color w:val="273540"/>
          <w:sz w:val="24"/>
          <w:szCs w:val="24"/>
        </w:rPr>
        <w:t>Davì</w:t>
      </w:r>
      <w:proofErr w:type="spellEnd"/>
      <w:r w:rsidRPr="00984267">
        <w:rPr>
          <w:rFonts w:ascii="Helvetica" w:eastAsia="Times New Roman" w:hAnsi="Helvetica" w:cs="Helvetica"/>
          <w:color w:val="273540"/>
          <w:sz w:val="24"/>
          <w:szCs w:val="24"/>
        </w:rPr>
        <w:t xml:space="preserve"> et al., 2026). They must also respond to changing group dynamics and interpersonal conflicts while creating an environment where members feel comfortable participating. From my experience in group treatment within a mental health and substance use setting, I have seen how setting expectations for confidentiality, communication, and boundaries from the beginning can help build trust and create a safer environment for clients to share openly.</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Family therapy is even more complicated because one person's needs and privacy must be considered alongside those of other family members. Hem et al. (2023) identified ethical tensions around confidentiality, family involvement, the client’s best interests, and preserving the therapeutic alliance. Information shared by one family member may affect others, making it especially important to set early expectations about confidentiality, information sharing, and boundaries. When children or adolescents are involved, the professional must also address additional considerations around consent, assent, privacy, and mandatory reporting.</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b/>
          <w:bCs/>
          <w:color w:val="273540"/>
          <w:sz w:val="24"/>
          <w:szCs w:val="24"/>
        </w:rPr>
        <w:t>Impact on Individual, Group, and Family Therapeutic Approaches</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These legal and ethical differences will directly influence my therapeutic approach as a student PMHNP and in my future practice. With an individual client, I would focus on building trust and ensuring the client understands confidentiality and its limitations. In a group, I would set expectations for privacy, respectful communication, and boundaries, while recognizing that I cannot fully control what other members do with information shared during sessions. With families, I would discuss confidentiality and information sharing early while remaining mindful of the needs and perspectives of everyone involved (Kafka et al., 2024). Regardless of the setting, I believe clients should feel respected, informed, and safe enough to participate honestly in the therapeutic process.</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b/>
          <w:bCs/>
          <w:color w:val="273540"/>
          <w:sz w:val="24"/>
          <w:szCs w:val="24"/>
        </w:rPr>
        <w:t>Scholarly Articles</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All sources used in this discussion are scholarly, peer-reviewed publications published within the past five years. The literature selected includes original empirical research, a randomized controlled trial, scholarly reviews, an editorial, and a position paper.</w:t>
      </w:r>
    </w:p>
    <w:p w:rsidR="00984267" w:rsidRPr="00984267" w:rsidRDefault="00984267" w:rsidP="00984267">
      <w:pPr>
        <w:shd w:val="clear" w:color="auto" w:fill="FFFFFF"/>
        <w:spacing w:before="180" w:after="180" w:line="240" w:lineRule="auto"/>
        <w:jc w:val="center"/>
        <w:rPr>
          <w:rFonts w:ascii="Helvetica" w:eastAsia="Times New Roman" w:hAnsi="Helvetica" w:cs="Helvetica"/>
          <w:color w:val="273540"/>
          <w:sz w:val="24"/>
          <w:szCs w:val="24"/>
        </w:rPr>
      </w:pPr>
      <w:r w:rsidRPr="00984267">
        <w:rPr>
          <w:rFonts w:ascii="Helvetica" w:eastAsia="Times New Roman" w:hAnsi="Helvetica" w:cs="Helvetica"/>
          <w:b/>
          <w:bCs/>
          <w:color w:val="273540"/>
          <w:sz w:val="24"/>
          <w:szCs w:val="24"/>
        </w:rPr>
        <w:t>References</w:t>
      </w: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proofErr w:type="spellStart"/>
      <w:r w:rsidRPr="00984267">
        <w:rPr>
          <w:rFonts w:ascii="Helvetica" w:eastAsia="Times New Roman" w:hAnsi="Helvetica" w:cs="Helvetica"/>
          <w:color w:val="273540"/>
          <w:sz w:val="24"/>
          <w:szCs w:val="24"/>
        </w:rPr>
        <w:lastRenderedPageBreak/>
        <w:t>Avasthi</w:t>
      </w:r>
      <w:proofErr w:type="spellEnd"/>
      <w:r w:rsidRPr="00984267">
        <w:rPr>
          <w:rFonts w:ascii="Helvetica" w:eastAsia="Times New Roman" w:hAnsi="Helvetica" w:cs="Helvetica"/>
          <w:color w:val="273540"/>
          <w:sz w:val="24"/>
          <w:szCs w:val="24"/>
        </w:rPr>
        <w:t xml:space="preserve">, A., Grover, S., &amp; </w:t>
      </w:r>
      <w:proofErr w:type="spellStart"/>
      <w:r w:rsidRPr="00984267">
        <w:rPr>
          <w:rFonts w:ascii="Helvetica" w:eastAsia="Times New Roman" w:hAnsi="Helvetica" w:cs="Helvetica"/>
          <w:color w:val="273540"/>
          <w:sz w:val="24"/>
          <w:szCs w:val="24"/>
        </w:rPr>
        <w:t>Nischal</w:t>
      </w:r>
      <w:proofErr w:type="spellEnd"/>
      <w:r w:rsidRPr="00984267">
        <w:rPr>
          <w:rFonts w:ascii="Helvetica" w:eastAsia="Times New Roman" w:hAnsi="Helvetica" w:cs="Helvetica"/>
          <w:color w:val="273540"/>
          <w:sz w:val="24"/>
          <w:szCs w:val="24"/>
        </w:rPr>
        <w:t>, A. (2022). Ethical and legal issues in psychotherapy. </w:t>
      </w:r>
      <w:r w:rsidRPr="00984267">
        <w:rPr>
          <w:rFonts w:ascii="Helvetica" w:eastAsia="Times New Roman" w:hAnsi="Helvetica" w:cs="Helvetica"/>
          <w:i/>
          <w:iCs/>
          <w:color w:val="273540"/>
          <w:sz w:val="24"/>
          <w:szCs w:val="24"/>
        </w:rPr>
        <w:t>Indian Journal of Psychiatry</w:t>
      </w:r>
      <w:r w:rsidRPr="00984267">
        <w:rPr>
          <w:rFonts w:ascii="Helvetica" w:eastAsia="Times New Roman" w:hAnsi="Helvetica" w:cs="Helvetica"/>
          <w:color w:val="273540"/>
          <w:sz w:val="24"/>
          <w:szCs w:val="24"/>
        </w:rPr>
        <w:t>, </w:t>
      </w:r>
      <w:r w:rsidRPr="00984267">
        <w:rPr>
          <w:rFonts w:ascii="Helvetica" w:eastAsia="Times New Roman" w:hAnsi="Helvetica" w:cs="Helvetica"/>
          <w:i/>
          <w:iCs/>
          <w:color w:val="273540"/>
          <w:sz w:val="24"/>
          <w:szCs w:val="24"/>
        </w:rPr>
        <w:t>64</w:t>
      </w:r>
      <w:r w:rsidRPr="00984267">
        <w:rPr>
          <w:rFonts w:ascii="Helvetica" w:eastAsia="Times New Roman" w:hAnsi="Helvetica" w:cs="Helvetica"/>
          <w:color w:val="273540"/>
          <w:sz w:val="24"/>
          <w:szCs w:val="24"/>
        </w:rPr>
        <w:t>(</w:t>
      </w:r>
      <w:proofErr w:type="spellStart"/>
      <w:r w:rsidRPr="00984267">
        <w:rPr>
          <w:rFonts w:ascii="Helvetica" w:eastAsia="Times New Roman" w:hAnsi="Helvetica" w:cs="Helvetica"/>
          <w:color w:val="273540"/>
          <w:sz w:val="24"/>
          <w:szCs w:val="24"/>
        </w:rPr>
        <w:t>Suppl</w:t>
      </w:r>
      <w:proofErr w:type="spellEnd"/>
      <w:r w:rsidRPr="00984267">
        <w:rPr>
          <w:rFonts w:ascii="Helvetica" w:eastAsia="Times New Roman" w:hAnsi="Helvetica" w:cs="Helvetica"/>
          <w:color w:val="273540"/>
          <w:sz w:val="24"/>
          <w:szCs w:val="24"/>
        </w:rPr>
        <w:t xml:space="preserve"> 1), S47–S61. </w:t>
      </w:r>
      <w:hyperlink r:id="rId8" w:tgtFrame="_blank" w:history="1">
        <w:r w:rsidRPr="00984267">
          <w:rPr>
            <w:rFonts w:ascii="Helvetica" w:eastAsia="Times New Roman" w:hAnsi="Helvetica" w:cs="Helvetica"/>
            <w:color w:val="00687F"/>
            <w:sz w:val="24"/>
            <w:szCs w:val="24"/>
            <w:u w:val="single"/>
          </w:rPr>
          <w:t>https://doi.org/10.4103/indianjpsychiatry.indianjpsychiatry_50_21</w:t>
        </w:r>
      </w:hyperlink>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proofErr w:type="spellStart"/>
      <w:r w:rsidRPr="00984267">
        <w:rPr>
          <w:rFonts w:ascii="Helvetica" w:eastAsia="Times New Roman" w:hAnsi="Helvetica" w:cs="Helvetica"/>
          <w:color w:val="273540"/>
          <w:sz w:val="24"/>
          <w:szCs w:val="24"/>
        </w:rPr>
        <w:t>Bhugra</w:t>
      </w:r>
      <w:proofErr w:type="spellEnd"/>
      <w:r w:rsidRPr="00984267">
        <w:rPr>
          <w:rFonts w:ascii="Helvetica" w:eastAsia="Times New Roman" w:hAnsi="Helvetica" w:cs="Helvetica"/>
          <w:color w:val="273540"/>
          <w:sz w:val="24"/>
          <w:szCs w:val="24"/>
        </w:rPr>
        <w:t xml:space="preserve">, D., Watson, C., &amp; </w:t>
      </w:r>
      <w:proofErr w:type="spellStart"/>
      <w:r w:rsidRPr="00984267">
        <w:rPr>
          <w:rFonts w:ascii="Helvetica" w:eastAsia="Times New Roman" w:hAnsi="Helvetica" w:cs="Helvetica"/>
          <w:color w:val="273540"/>
          <w:sz w:val="24"/>
          <w:szCs w:val="24"/>
        </w:rPr>
        <w:t>Wijesuriya</w:t>
      </w:r>
      <w:proofErr w:type="spellEnd"/>
      <w:r w:rsidRPr="00984267">
        <w:rPr>
          <w:rFonts w:ascii="Helvetica" w:eastAsia="Times New Roman" w:hAnsi="Helvetica" w:cs="Helvetica"/>
          <w:color w:val="273540"/>
          <w:sz w:val="24"/>
          <w:szCs w:val="24"/>
        </w:rPr>
        <w:t>, R. (2021). Culture and mental illnesses. </w:t>
      </w:r>
      <w:r w:rsidRPr="00984267">
        <w:rPr>
          <w:rFonts w:ascii="Helvetica" w:eastAsia="Times New Roman" w:hAnsi="Helvetica" w:cs="Helvetica"/>
          <w:i/>
          <w:iCs/>
          <w:color w:val="273540"/>
          <w:sz w:val="24"/>
          <w:szCs w:val="24"/>
        </w:rPr>
        <w:t>International Review of Psychiatry</w:t>
      </w:r>
      <w:r w:rsidRPr="00984267">
        <w:rPr>
          <w:rFonts w:ascii="Helvetica" w:eastAsia="Times New Roman" w:hAnsi="Helvetica" w:cs="Helvetica"/>
          <w:color w:val="273540"/>
          <w:sz w:val="24"/>
          <w:szCs w:val="24"/>
        </w:rPr>
        <w:t>, </w:t>
      </w:r>
      <w:r w:rsidRPr="00984267">
        <w:rPr>
          <w:rFonts w:ascii="Helvetica" w:eastAsia="Times New Roman" w:hAnsi="Helvetica" w:cs="Helvetica"/>
          <w:i/>
          <w:iCs/>
          <w:color w:val="273540"/>
          <w:sz w:val="24"/>
          <w:szCs w:val="24"/>
        </w:rPr>
        <w:t>33</w:t>
      </w:r>
      <w:r w:rsidRPr="00984267">
        <w:rPr>
          <w:rFonts w:ascii="Helvetica" w:eastAsia="Times New Roman" w:hAnsi="Helvetica" w:cs="Helvetica"/>
          <w:color w:val="273540"/>
          <w:sz w:val="24"/>
          <w:szCs w:val="24"/>
        </w:rPr>
        <w:t>(1-2), 1–2. </w:t>
      </w:r>
      <w:hyperlink r:id="rId9" w:tgtFrame="_blank" w:history="1">
        <w:r w:rsidRPr="00984267">
          <w:rPr>
            <w:rFonts w:ascii="Helvetica" w:eastAsia="Times New Roman" w:hAnsi="Helvetica" w:cs="Helvetica"/>
            <w:color w:val="00687F"/>
            <w:sz w:val="24"/>
            <w:szCs w:val="24"/>
            <w:u w:val="single"/>
          </w:rPr>
          <w:t>https://doi.org/10.1080/09540261.2020.1777748</w:t>
        </w:r>
      </w:hyperlink>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proofErr w:type="spellStart"/>
      <w:r w:rsidRPr="00984267">
        <w:rPr>
          <w:rFonts w:ascii="Helvetica" w:eastAsia="Times New Roman" w:hAnsi="Helvetica" w:cs="Helvetica"/>
          <w:color w:val="273540"/>
          <w:sz w:val="24"/>
          <w:szCs w:val="24"/>
        </w:rPr>
        <w:t>Cammisuli</w:t>
      </w:r>
      <w:proofErr w:type="spellEnd"/>
      <w:r w:rsidRPr="00984267">
        <w:rPr>
          <w:rFonts w:ascii="Helvetica" w:eastAsia="Times New Roman" w:hAnsi="Helvetica" w:cs="Helvetica"/>
          <w:color w:val="273540"/>
          <w:sz w:val="24"/>
          <w:szCs w:val="24"/>
        </w:rPr>
        <w:t xml:space="preserve">, D. M., &amp; </w:t>
      </w:r>
      <w:proofErr w:type="spellStart"/>
      <w:r w:rsidRPr="00984267">
        <w:rPr>
          <w:rFonts w:ascii="Helvetica" w:eastAsia="Times New Roman" w:hAnsi="Helvetica" w:cs="Helvetica"/>
          <w:color w:val="273540"/>
          <w:sz w:val="24"/>
          <w:szCs w:val="24"/>
        </w:rPr>
        <w:t>Castelnuovo</w:t>
      </w:r>
      <w:proofErr w:type="spellEnd"/>
      <w:r w:rsidRPr="00984267">
        <w:rPr>
          <w:rFonts w:ascii="Helvetica" w:eastAsia="Times New Roman" w:hAnsi="Helvetica" w:cs="Helvetica"/>
          <w:color w:val="273540"/>
          <w:sz w:val="24"/>
          <w:szCs w:val="24"/>
        </w:rPr>
        <w:t>, G. (2023). Neuroscience-based psychotherapy: A position paper. </w:t>
      </w:r>
      <w:r w:rsidRPr="00984267">
        <w:rPr>
          <w:rFonts w:ascii="Helvetica" w:eastAsia="Times New Roman" w:hAnsi="Helvetica" w:cs="Helvetica"/>
          <w:i/>
          <w:iCs/>
          <w:color w:val="273540"/>
          <w:sz w:val="24"/>
          <w:szCs w:val="24"/>
        </w:rPr>
        <w:t>Frontiers in Psychology</w:t>
      </w:r>
      <w:r w:rsidRPr="00984267">
        <w:rPr>
          <w:rFonts w:ascii="Helvetica" w:eastAsia="Times New Roman" w:hAnsi="Helvetica" w:cs="Helvetica"/>
          <w:color w:val="273540"/>
          <w:sz w:val="24"/>
          <w:szCs w:val="24"/>
        </w:rPr>
        <w:t>, </w:t>
      </w:r>
      <w:r w:rsidRPr="00984267">
        <w:rPr>
          <w:rFonts w:ascii="Helvetica" w:eastAsia="Times New Roman" w:hAnsi="Helvetica" w:cs="Helvetica"/>
          <w:i/>
          <w:iCs/>
          <w:color w:val="273540"/>
          <w:sz w:val="24"/>
          <w:szCs w:val="24"/>
        </w:rPr>
        <w:t>14</w:t>
      </w:r>
      <w:r w:rsidRPr="00984267">
        <w:rPr>
          <w:rFonts w:ascii="Helvetica" w:eastAsia="Times New Roman" w:hAnsi="Helvetica" w:cs="Helvetica"/>
          <w:color w:val="273540"/>
          <w:sz w:val="24"/>
          <w:szCs w:val="24"/>
        </w:rPr>
        <w:t>, Article 1101044. </w:t>
      </w:r>
      <w:hyperlink r:id="rId10" w:tgtFrame="_blank" w:history="1">
        <w:r w:rsidRPr="00984267">
          <w:rPr>
            <w:rFonts w:ascii="Helvetica" w:eastAsia="Times New Roman" w:hAnsi="Helvetica" w:cs="Helvetica"/>
            <w:color w:val="00687F"/>
            <w:sz w:val="24"/>
            <w:szCs w:val="24"/>
            <w:u w:val="single"/>
          </w:rPr>
          <w:t>https://doi.org/10.3389/fpsyg.2023.1101044</w:t>
        </w:r>
      </w:hyperlink>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proofErr w:type="spellStart"/>
      <w:r w:rsidRPr="00984267">
        <w:rPr>
          <w:rFonts w:ascii="Helvetica" w:eastAsia="Times New Roman" w:hAnsi="Helvetica" w:cs="Helvetica"/>
          <w:color w:val="273540"/>
          <w:sz w:val="24"/>
          <w:szCs w:val="24"/>
        </w:rPr>
        <w:t>Davì</w:t>
      </w:r>
      <w:proofErr w:type="spellEnd"/>
      <w:r w:rsidRPr="00984267">
        <w:rPr>
          <w:rFonts w:ascii="Helvetica" w:eastAsia="Times New Roman" w:hAnsi="Helvetica" w:cs="Helvetica"/>
          <w:color w:val="273540"/>
          <w:sz w:val="24"/>
          <w:szCs w:val="24"/>
        </w:rPr>
        <w:t xml:space="preserve">, D., </w:t>
      </w:r>
      <w:proofErr w:type="spellStart"/>
      <w:r w:rsidRPr="00984267">
        <w:rPr>
          <w:rFonts w:ascii="Helvetica" w:eastAsia="Times New Roman" w:hAnsi="Helvetica" w:cs="Helvetica"/>
          <w:color w:val="273540"/>
          <w:sz w:val="24"/>
          <w:szCs w:val="24"/>
        </w:rPr>
        <w:t>Prestano</w:t>
      </w:r>
      <w:proofErr w:type="spellEnd"/>
      <w:r w:rsidRPr="00984267">
        <w:rPr>
          <w:rFonts w:ascii="Helvetica" w:eastAsia="Times New Roman" w:hAnsi="Helvetica" w:cs="Helvetica"/>
          <w:color w:val="273540"/>
          <w:sz w:val="24"/>
          <w:szCs w:val="24"/>
        </w:rPr>
        <w:t xml:space="preserve">, C., &amp; </w:t>
      </w:r>
      <w:proofErr w:type="spellStart"/>
      <w:r w:rsidRPr="00984267">
        <w:rPr>
          <w:rFonts w:ascii="Helvetica" w:eastAsia="Times New Roman" w:hAnsi="Helvetica" w:cs="Helvetica"/>
          <w:color w:val="273540"/>
          <w:sz w:val="24"/>
          <w:szCs w:val="24"/>
        </w:rPr>
        <w:t>Vegni</w:t>
      </w:r>
      <w:proofErr w:type="spellEnd"/>
      <w:r w:rsidRPr="00984267">
        <w:rPr>
          <w:rFonts w:ascii="Helvetica" w:eastAsia="Times New Roman" w:hAnsi="Helvetica" w:cs="Helvetica"/>
          <w:color w:val="273540"/>
          <w:sz w:val="24"/>
          <w:szCs w:val="24"/>
        </w:rPr>
        <w:t>, N. (2026). Group setting and therapist responsiveness: A narrative review. </w:t>
      </w:r>
      <w:r w:rsidRPr="00984267">
        <w:rPr>
          <w:rFonts w:ascii="Helvetica" w:eastAsia="Times New Roman" w:hAnsi="Helvetica" w:cs="Helvetica"/>
          <w:i/>
          <w:iCs/>
          <w:color w:val="273540"/>
          <w:sz w:val="24"/>
          <w:szCs w:val="24"/>
        </w:rPr>
        <w:t>Psychiatry International</w:t>
      </w:r>
      <w:r w:rsidRPr="00984267">
        <w:rPr>
          <w:rFonts w:ascii="Helvetica" w:eastAsia="Times New Roman" w:hAnsi="Helvetica" w:cs="Helvetica"/>
          <w:color w:val="273540"/>
          <w:sz w:val="24"/>
          <w:szCs w:val="24"/>
        </w:rPr>
        <w:t>, </w:t>
      </w:r>
      <w:r w:rsidRPr="00984267">
        <w:rPr>
          <w:rFonts w:ascii="Helvetica" w:eastAsia="Times New Roman" w:hAnsi="Helvetica" w:cs="Helvetica"/>
          <w:i/>
          <w:iCs/>
          <w:color w:val="273540"/>
          <w:sz w:val="24"/>
          <w:szCs w:val="24"/>
        </w:rPr>
        <w:t>7</w:t>
      </w:r>
      <w:r w:rsidRPr="00984267">
        <w:rPr>
          <w:rFonts w:ascii="Helvetica" w:eastAsia="Times New Roman" w:hAnsi="Helvetica" w:cs="Helvetica"/>
          <w:color w:val="273540"/>
          <w:sz w:val="24"/>
          <w:szCs w:val="24"/>
        </w:rPr>
        <w:t>(1), Article 37. </w:t>
      </w:r>
      <w:hyperlink r:id="rId11" w:tgtFrame="_blank" w:history="1">
        <w:r w:rsidRPr="00984267">
          <w:rPr>
            <w:rFonts w:ascii="Helvetica" w:eastAsia="Times New Roman" w:hAnsi="Helvetica" w:cs="Helvetica"/>
            <w:color w:val="00687F"/>
            <w:sz w:val="24"/>
            <w:szCs w:val="24"/>
            <w:u w:val="single"/>
          </w:rPr>
          <w:t>https://doi.org/10.3390/psychiatryint7010037</w:t>
        </w:r>
      </w:hyperlink>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Hansen, K. L., Nielsen, S. L., </w:t>
      </w:r>
      <w:proofErr w:type="spellStart"/>
      <w:r w:rsidRPr="00984267">
        <w:rPr>
          <w:rFonts w:ascii="Helvetica" w:eastAsia="Times New Roman" w:hAnsi="Helvetica" w:cs="Helvetica"/>
          <w:color w:val="273540"/>
          <w:sz w:val="24"/>
          <w:szCs w:val="24"/>
        </w:rPr>
        <w:t>Erekson</w:t>
      </w:r>
      <w:proofErr w:type="spellEnd"/>
      <w:r w:rsidRPr="00984267">
        <w:rPr>
          <w:rFonts w:ascii="Helvetica" w:eastAsia="Times New Roman" w:hAnsi="Helvetica" w:cs="Helvetica"/>
          <w:color w:val="273540"/>
          <w:sz w:val="24"/>
          <w:szCs w:val="24"/>
        </w:rPr>
        <w:t>, D. M., Fischer, L., Pedersen, T. R., &amp; Smith, T. B. (2025). Effects of religious and spiritual struggles on psychotherapy process and outcome. </w:t>
      </w:r>
      <w:r w:rsidRPr="00984267">
        <w:rPr>
          <w:rFonts w:ascii="Helvetica" w:eastAsia="Times New Roman" w:hAnsi="Helvetica" w:cs="Helvetica"/>
          <w:i/>
          <w:iCs/>
          <w:color w:val="273540"/>
          <w:sz w:val="24"/>
          <w:szCs w:val="24"/>
        </w:rPr>
        <w:t>Spirituality in Clinical Practice</w:t>
      </w:r>
      <w:r w:rsidRPr="00984267">
        <w:rPr>
          <w:rFonts w:ascii="Helvetica" w:eastAsia="Times New Roman" w:hAnsi="Helvetica" w:cs="Helvetica"/>
          <w:color w:val="273540"/>
          <w:sz w:val="24"/>
          <w:szCs w:val="24"/>
        </w:rPr>
        <w:t>, </w:t>
      </w:r>
      <w:r w:rsidRPr="00984267">
        <w:rPr>
          <w:rFonts w:ascii="Helvetica" w:eastAsia="Times New Roman" w:hAnsi="Helvetica" w:cs="Helvetica"/>
          <w:i/>
          <w:iCs/>
          <w:color w:val="273540"/>
          <w:sz w:val="24"/>
          <w:szCs w:val="24"/>
        </w:rPr>
        <w:t>12</w:t>
      </w:r>
      <w:r w:rsidRPr="00984267">
        <w:rPr>
          <w:rFonts w:ascii="Helvetica" w:eastAsia="Times New Roman" w:hAnsi="Helvetica" w:cs="Helvetica"/>
          <w:color w:val="273540"/>
          <w:sz w:val="24"/>
          <w:szCs w:val="24"/>
        </w:rPr>
        <w:t>(1), 124–135. </w:t>
      </w:r>
      <w:hyperlink r:id="rId12" w:tgtFrame="_blank" w:history="1">
        <w:r w:rsidRPr="00984267">
          <w:rPr>
            <w:rFonts w:ascii="Helvetica" w:eastAsia="Times New Roman" w:hAnsi="Helvetica" w:cs="Helvetica"/>
            <w:color w:val="00687F"/>
            <w:sz w:val="24"/>
            <w:szCs w:val="24"/>
            <w:u w:val="single"/>
          </w:rPr>
          <w:t>https://doi.org/10.1037/scp0000343</w:t>
        </w:r>
      </w:hyperlink>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Hem, M. H., </w:t>
      </w:r>
      <w:proofErr w:type="spellStart"/>
      <w:r w:rsidRPr="00984267">
        <w:rPr>
          <w:rFonts w:ascii="Helvetica" w:eastAsia="Times New Roman" w:hAnsi="Helvetica" w:cs="Helvetica"/>
          <w:color w:val="273540"/>
          <w:sz w:val="24"/>
          <w:szCs w:val="24"/>
        </w:rPr>
        <w:t>Molewijk</w:t>
      </w:r>
      <w:proofErr w:type="spellEnd"/>
      <w:r w:rsidRPr="00984267">
        <w:rPr>
          <w:rFonts w:ascii="Helvetica" w:eastAsia="Times New Roman" w:hAnsi="Helvetica" w:cs="Helvetica"/>
          <w:color w:val="273540"/>
          <w:sz w:val="24"/>
          <w:szCs w:val="24"/>
        </w:rPr>
        <w:t xml:space="preserve">, B., </w:t>
      </w:r>
      <w:proofErr w:type="spellStart"/>
      <w:r w:rsidRPr="00984267">
        <w:rPr>
          <w:rFonts w:ascii="Helvetica" w:eastAsia="Times New Roman" w:hAnsi="Helvetica" w:cs="Helvetica"/>
          <w:color w:val="273540"/>
          <w:sz w:val="24"/>
          <w:szCs w:val="24"/>
        </w:rPr>
        <w:t>Weimand</w:t>
      </w:r>
      <w:proofErr w:type="spellEnd"/>
      <w:r w:rsidRPr="00984267">
        <w:rPr>
          <w:rFonts w:ascii="Helvetica" w:eastAsia="Times New Roman" w:hAnsi="Helvetica" w:cs="Helvetica"/>
          <w:color w:val="273540"/>
          <w:sz w:val="24"/>
          <w:szCs w:val="24"/>
        </w:rPr>
        <w:t>, B., &amp; Pedersen, R. (2023). Patients with severe mental illness and the ethical challenges related to confidentiality during family involvement: A scoping review. </w:t>
      </w:r>
      <w:r w:rsidRPr="00984267">
        <w:rPr>
          <w:rFonts w:ascii="Helvetica" w:eastAsia="Times New Roman" w:hAnsi="Helvetica" w:cs="Helvetica"/>
          <w:i/>
          <w:iCs/>
          <w:color w:val="273540"/>
          <w:sz w:val="24"/>
          <w:szCs w:val="24"/>
        </w:rPr>
        <w:t>Frontiers in Public Health</w:t>
      </w:r>
      <w:r w:rsidRPr="00984267">
        <w:rPr>
          <w:rFonts w:ascii="Helvetica" w:eastAsia="Times New Roman" w:hAnsi="Helvetica" w:cs="Helvetica"/>
          <w:color w:val="273540"/>
          <w:sz w:val="24"/>
          <w:szCs w:val="24"/>
        </w:rPr>
        <w:t>, </w:t>
      </w:r>
      <w:r w:rsidRPr="00984267">
        <w:rPr>
          <w:rFonts w:ascii="Helvetica" w:eastAsia="Times New Roman" w:hAnsi="Helvetica" w:cs="Helvetica"/>
          <w:i/>
          <w:iCs/>
          <w:color w:val="273540"/>
          <w:sz w:val="24"/>
          <w:szCs w:val="24"/>
        </w:rPr>
        <w:t>10</w:t>
      </w:r>
      <w:r w:rsidRPr="00984267">
        <w:rPr>
          <w:rFonts w:ascii="Helvetica" w:eastAsia="Times New Roman" w:hAnsi="Helvetica" w:cs="Helvetica"/>
          <w:color w:val="273540"/>
          <w:sz w:val="24"/>
          <w:szCs w:val="24"/>
        </w:rPr>
        <w:t>. </w:t>
      </w:r>
      <w:hyperlink r:id="rId13" w:tgtFrame="_blank" w:history="1">
        <w:r w:rsidRPr="00984267">
          <w:rPr>
            <w:rFonts w:ascii="Helvetica" w:eastAsia="Times New Roman" w:hAnsi="Helvetica" w:cs="Helvetica"/>
            <w:color w:val="00687F"/>
            <w:sz w:val="24"/>
            <w:szCs w:val="24"/>
            <w:u w:val="single"/>
          </w:rPr>
          <w:t>https://doi.org/10.3389/fpubh.2022.960815</w:t>
        </w:r>
      </w:hyperlink>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r w:rsidRPr="00984267">
        <w:rPr>
          <w:rFonts w:ascii="Helvetica" w:eastAsia="Times New Roman" w:hAnsi="Helvetica" w:cs="Helvetica"/>
          <w:color w:val="273540"/>
          <w:sz w:val="24"/>
          <w:szCs w:val="24"/>
        </w:rPr>
        <w:t xml:space="preserve">Kafka, J. X., </w:t>
      </w:r>
      <w:proofErr w:type="spellStart"/>
      <w:r w:rsidRPr="00984267">
        <w:rPr>
          <w:rFonts w:ascii="Helvetica" w:eastAsia="Times New Roman" w:hAnsi="Helvetica" w:cs="Helvetica"/>
          <w:color w:val="273540"/>
          <w:sz w:val="24"/>
          <w:szCs w:val="24"/>
        </w:rPr>
        <w:t>Kothgassner</w:t>
      </w:r>
      <w:proofErr w:type="spellEnd"/>
      <w:r w:rsidRPr="00984267">
        <w:rPr>
          <w:rFonts w:ascii="Helvetica" w:eastAsia="Times New Roman" w:hAnsi="Helvetica" w:cs="Helvetica"/>
          <w:color w:val="273540"/>
          <w:sz w:val="24"/>
          <w:szCs w:val="24"/>
        </w:rPr>
        <w:t xml:space="preserve">, O. D., &amp; </w:t>
      </w:r>
      <w:proofErr w:type="spellStart"/>
      <w:r w:rsidRPr="00984267">
        <w:rPr>
          <w:rFonts w:ascii="Helvetica" w:eastAsia="Times New Roman" w:hAnsi="Helvetica" w:cs="Helvetica"/>
          <w:color w:val="273540"/>
          <w:sz w:val="24"/>
          <w:szCs w:val="24"/>
        </w:rPr>
        <w:t>Felnhofer</w:t>
      </w:r>
      <w:proofErr w:type="spellEnd"/>
      <w:r w:rsidRPr="00984267">
        <w:rPr>
          <w:rFonts w:ascii="Helvetica" w:eastAsia="Times New Roman" w:hAnsi="Helvetica" w:cs="Helvetica"/>
          <w:color w:val="273540"/>
          <w:sz w:val="24"/>
          <w:szCs w:val="24"/>
        </w:rPr>
        <w:t>, A. (2024). A matter of trust: Confidentiality in therapeutic relationships during psychological and medical treatment in children and adolescents with mental disorders. </w:t>
      </w:r>
      <w:r w:rsidRPr="00984267">
        <w:rPr>
          <w:rFonts w:ascii="Helvetica" w:eastAsia="Times New Roman" w:hAnsi="Helvetica" w:cs="Helvetica"/>
          <w:i/>
          <w:iCs/>
          <w:color w:val="273540"/>
          <w:sz w:val="24"/>
          <w:szCs w:val="24"/>
        </w:rPr>
        <w:t>Journal of Clinical Medicine</w:t>
      </w:r>
      <w:r w:rsidRPr="00984267">
        <w:rPr>
          <w:rFonts w:ascii="Helvetica" w:eastAsia="Times New Roman" w:hAnsi="Helvetica" w:cs="Helvetica"/>
          <w:color w:val="273540"/>
          <w:sz w:val="24"/>
          <w:szCs w:val="24"/>
        </w:rPr>
        <w:t>, </w:t>
      </w:r>
      <w:r w:rsidRPr="00984267">
        <w:rPr>
          <w:rFonts w:ascii="Helvetica" w:eastAsia="Times New Roman" w:hAnsi="Helvetica" w:cs="Helvetica"/>
          <w:i/>
          <w:iCs/>
          <w:color w:val="273540"/>
          <w:sz w:val="24"/>
          <w:szCs w:val="24"/>
        </w:rPr>
        <w:t>13</w:t>
      </w:r>
      <w:r w:rsidRPr="00984267">
        <w:rPr>
          <w:rFonts w:ascii="Helvetica" w:eastAsia="Times New Roman" w:hAnsi="Helvetica" w:cs="Helvetica"/>
          <w:color w:val="273540"/>
          <w:sz w:val="24"/>
          <w:szCs w:val="24"/>
        </w:rPr>
        <w:t>(6), Article 1752. </w:t>
      </w:r>
      <w:hyperlink r:id="rId14" w:tgtFrame="_blank" w:history="1">
        <w:r w:rsidRPr="00984267">
          <w:rPr>
            <w:rFonts w:ascii="Helvetica" w:eastAsia="Times New Roman" w:hAnsi="Helvetica" w:cs="Helvetica"/>
            <w:color w:val="00687F"/>
            <w:sz w:val="24"/>
            <w:szCs w:val="24"/>
            <w:u w:val="single"/>
          </w:rPr>
          <w:t>https://doi.org/10.3390/jcm13061752</w:t>
        </w:r>
      </w:hyperlink>
    </w:p>
    <w:p w:rsidR="00984267" w:rsidRDefault="00984267" w:rsidP="00984267">
      <w:pPr>
        <w:shd w:val="clear" w:color="auto" w:fill="FFFFFF"/>
        <w:spacing w:before="180" w:after="180" w:line="240" w:lineRule="auto"/>
        <w:rPr>
          <w:rFonts w:ascii="Helvetica" w:eastAsia="Times New Roman" w:hAnsi="Helvetica" w:cs="Helvetica"/>
          <w:color w:val="273540"/>
          <w:sz w:val="24"/>
          <w:szCs w:val="24"/>
        </w:rPr>
      </w:pPr>
    </w:p>
    <w:p w:rsidR="00984267" w:rsidRPr="00984267" w:rsidRDefault="00984267" w:rsidP="00984267">
      <w:pPr>
        <w:shd w:val="clear" w:color="auto" w:fill="FFFFFF"/>
        <w:spacing w:before="180" w:after="180" w:line="240" w:lineRule="auto"/>
        <w:rPr>
          <w:rFonts w:ascii="Helvetica" w:eastAsia="Times New Roman" w:hAnsi="Helvetica" w:cs="Helvetica"/>
          <w:color w:val="273540"/>
          <w:sz w:val="24"/>
          <w:szCs w:val="24"/>
        </w:rPr>
      </w:pPr>
    </w:p>
    <w:p w:rsidR="00CE3BDC" w:rsidRDefault="00CE3BDC"/>
    <w:sectPr w:rsidR="00CE3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67"/>
    <w:rsid w:val="00984267"/>
    <w:rsid w:val="00CE3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5081"/>
  <w15:chartTrackingRefBased/>
  <w15:docId w15:val="{FAFA4747-9027-4A60-AECF-66E82730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65396">
      <w:bodyDiv w:val="1"/>
      <w:marLeft w:val="0"/>
      <w:marRight w:val="0"/>
      <w:marTop w:val="0"/>
      <w:marBottom w:val="0"/>
      <w:divBdr>
        <w:top w:val="none" w:sz="0" w:space="0" w:color="auto"/>
        <w:left w:val="none" w:sz="0" w:space="0" w:color="auto"/>
        <w:bottom w:val="none" w:sz="0" w:space="0" w:color="auto"/>
        <w:right w:val="none" w:sz="0" w:space="0" w:color="auto"/>
      </w:divBdr>
    </w:div>
    <w:div w:id="219172015">
      <w:bodyDiv w:val="1"/>
      <w:marLeft w:val="0"/>
      <w:marRight w:val="0"/>
      <w:marTop w:val="0"/>
      <w:marBottom w:val="0"/>
      <w:divBdr>
        <w:top w:val="none" w:sz="0" w:space="0" w:color="auto"/>
        <w:left w:val="none" w:sz="0" w:space="0" w:color="auto"/>
        <w:bottom w:val="none" w:sz="0" w:space="0" w:color="auto"/>
        <w:right w:val="none" w:sz="0" w:space="0" w:color="auto"/>
      </w:divBdr>
      <w:divsChild>
        <w:div w:id="1946157913">
          <w:marLeft w:val="0"/>
          <w:marRight w:val="0"/>
          <w:marTop w:val="0"/>
          <w:marBottom w:val="0"/>
          <w:divBdr>
            <w:top w:val="none" w:sz="0" w:space="0" w:color="auto"/>
            <w:left w:val="none" w:sz="0" w:space="0" w:color="auto"/>
            <w:bottom w:val="none" w:sz="0" w:space="0" w:color="auto"/>
            <w:right w:val="none" w:sz="0" w:space="0" w:color="auto"/>
          </w:divBdr>
        </w:div>
        <w:div w:id="1188251229">
          <w:marLeft w:val="0"/>
          <w:marRight w:val="0"/>
          <w:marTop w:val="0"/>
          <w:marBottom w:val="0"/>
          <w:divBdr>
            <w:top w:val="none" w:sz="0" w:space="0" w:color="auto"/>
            <w:left w:val="none" w:sz="0" w:space="0" w:color="auto"/>
            <w:bottom w:val="none" w:sz="0" w:space="0" w:color="auto"/>
            <w:right w:val="none" w:sz="0" w:space="0" w:color="auto"/>
          </w:divBdr>
          <w:divsChild>
            <w:div w:id="1980381947">
              <w:marLeft w:val="0"/>
              <w:marRight w:val="0"/>
              <w:marTop w:val="0"/>
              <w:marBottom w:val="0"/>
              <w:divBdr>
                <w:top w:val="none" w:sz="0" w:space="0" w:color="auto"/>
                <w:left w:val="none" w:sz="0" w:space="0" w:color="auto"/>
                <w:bottom w:val="none" w:sz="0" w:space="0" w:color="auto"/>
                <w:right w:val="none" w:sz="0" w:space="0" w:color="auto"/>
              </w:divBdr>
              <w:divsChild>
                <w:div w:id="200365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94370">
      <w:bodyDiv w:val="1"/>
      <w:marLeft w:val="0"/>
      <w:marRight w:val="0"/>
      <w:marTop w:val="0"/>
      <w:marBottom w:val="0"/>
      <w:divBdr>
        <w:top w:val="none" w:sz="0" w:space="0" w:color="auto"/>
        <w:left w:val="none" w:sz="0" w:space="0" w:color="auto"/>
        <w:bottom w:val="none" w:sz="0" w:space="0" w:color="auto"/>
        <w:right w:val="none" w:sz="0" w:space="0" w:color="auto"/>
      </w:divBdr>
      <w:divsChild>
        <w:div w:id="844170025">
          <w:marLeft w:val="0"/>
          <w:marRight w:val="0"/>
          <w:marTop w:val="0"/>
          <w:marBottom w:val="0"/>
          <w:divBdr>
            <w:top w:val="none" w:sz="0" w:space="0" w:color="auto"/>
            <w:left w:val="none" w:sz="0" w:space="0" w:color="auto"/>
            <w:bottom w:val="none" w:sz="0" w:space="0" w:color="auto"/>
            <w:right w:val="none" w:sz="0" w:space="0" w:color="auto"/>
          </w:divBdr>
        </w:div>
        <w:div w:id="1236666882">
          <w:marLeft w:val="0"/>
          <w:marRight w:val="0"/>
          <w:marTop w:val="0"/>
          <w:marBottom w:val="0"/>
          <w:divBdr>
            <w:top w:val="none" w:sz="0" w:space="0" w:color="auto"/>
            <w:left w:val="none" w:sz="0" w:space="0" w:color="auto"/>
            <w:bottom w:val="none" w:sz="0" w:space="0" w:color="auto"/>
            <w:right w:val="none" w:sz="0" w:space="0" w:color="auto"/>
          </w:divBdr>
        </w:div>
        <w:div w:id="1859392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103/indianjpsychiatry.indianjpsychiatry_50_21" TargetMode="External"/><Relationship Id="rId13" Type="http://schemas.openxmlformats.org/officeDocument/2006/relationships/hyperlink" Target="https://doi.org/10.3389/fpubh.2022.960815" TargetMode="External"/><Relationship Id="rId3" Type="http://schemas.openxmlformats.org/officeDocument/2006/relationships/webSettings" Target="webSettings.xml"/><Relationship Id="rId7" Type="http://schemas.openxmlformats.org/officeDocument/2006/relationships/hyperlink" Target="https://doi.org/10.1016/j.neubiorev.2022.104895" TargetMode="External"/><Relationship Id="rId12" Type="http://schemas.openxmlformats.org/officeDocument/2006/relationships/hyperlink" Target="https://doi.org/10.1037/scp0000343"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36131/cnfioritieditore20220204" TargetMode="External"/><Relationship Id="rId11" Type="http://schemas.openxmlformats.org/officeDocument/2006/relationships/hyperlink" Target="https://doi.org/10.3390/psychiatryint7010037" TargetMode="External"/><Relationship Id="rId5" Type="http://schemas.openxmlformats.org/officeDocument/2006/relationships/hyperlink" Target="https://doi.org/10.1002/jclp.23449" TargetMode="External"/><Relationship Id="rId15" Type="http://schemas.openxmlformats.org/officeDocument/2006/relationships/fontTable" Target="fontTable.xml"/><Relationship Id="rId10" Type="http://schemas.openxmlformats.org/officeDocument/2006/relationships/hyperlink" Target="https://doi.org/10.3389/fpsyg.2023.1101044" TargetMode="External"/><Relationship Id="rId4" Type="http://schemas.openxmlformats.org/officeDocument/2006/relationships/hyperlink" Target="https://doi.org/10.1007/s00127-022-02378-9" TargetMode="External"/><Relationship Id="rId9" Type="http://schemas.openxmlformats.org/officeDocument/2006/relationships/hyperlink" Target="https://doi.org/10.1080/09540261.2020.1777748" TargetMode="External"/><Relationship Id="rId14" Type="http://schemas.openxmlformats.org/officeDocument/2006/relationships/hyperlink" Target="https://doi.org/10.3390/jcm130617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2231</Words>
  <Characters>12723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2026-09-03T02:47:00Z</dcterms:created>
  <dcterms:modified xsi:type="dcterms:W3CDTF">2026-09-03T02:50:00Z</dcterms:modified>
</cp:coreProperties>
</file>